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73E6D">
      <w:pPr>
        <w:spacing w:line="360" w:lineRule="auto"/>
        <w:ind w:firstLine="381" w:firstLineChars="100"/>
        <w:jc w:val="both"/>
        <w:rPr>
          <w:rFonts w:hint="eastAsia" w:ascii="方正小标宋简体" w:hAnsi="仿宋" w:eastAsia="方正小标宋简体"/>
          <w:b/>
          <w:sz w:val="38"/>
          <w:szCs w:val="38"/>
          <w:lang w:val="en-US" w:eastAsia="zh-CN"/>
        </w:rPr>
      </w:pPr>
      <w:bookmarkStart w:id="7" w:name="_GoBack"/>
      <w:bookmarkEnd w:id="7"/>
      <w:r>
        <w:rPr>
          <w:rFonts w:hint="eastAsia" w:ascii="方正小标宋简体" w:hAnsi="仿宋" w:eastAsia="方正小标宋简体"/>
          <w:b/>
          <w:sz w:val="38"/>
          <w:szCs w:val="38"/>
        </w:rPr>
        <w:t>长三角学习型乡村</w:t>
      </w:r>
      <w:r>
        <w:rPr>
          <w:rFonts w:hint="eastAsia" w:ascii="方正小标宋简体" w:hAnsi="仿宋" w:eastAsia="方正小标宋简体"/>
          <w:b/>
          <w:sz w:val="38"/>
          <w:szCs w:val="38"/>
          <w:lang w:val="en-US" w:eastAsia="zh-CN"/>
        </w:rPr>
        <w:t>建设提质扩面</w:t>
      </w:r>
      <w:r>
        <w:rPr>
          <w:rFonts w:hint="eastAsia" w:ascii="方正小标宋简体" w:hAnsi="仿宋" w:eastAsia="方正小标宋简体"/>
          <w:b/>
          <w:sz w:val="38"/>
          <w:szCs w:val="38"/>
        </w:rPr>
        <w:t>项目</w:t>
      </w:r>
      <w:r>
        <w:rPr>
          <w:rFonts w:hint="eastAsia" w:ascii="方正小标宋简体" w:hAnsi="仿宋" w:eastAsia="方正小标宋简体"/>
          <w:b/>
          <w:sz w:val="38"/>
          <w:szCs w:val="38"/>
          <w:lang w:val="en-US" w:eastAsia="zh-CN"/>
        </w:rPr>
        <w:t>项目</w:t>
      </w:r>
      <w:r>
        <w:rPr>
          <w:rFonts w:hint="eastAsia" w:ascii="方正小标宋简体" w:hAnsi="仿宋" w:eastAsia="方正小标宋简体"/>
          <w:b/>
          <w:sz w:val="38"/>
          <w:szCs w:val="38"/>
        </w:rPr>
        <w:t>需求</w:t>
      </w:r>
    </w:p>
    <w:p w14:paraId="0FDE0899">
      <w:pPr>
        <w:jc w:val="both"/>
        <w:rPr>
          <w:b/>
          <w:sz w:val="44"/>
          <w:szCs w:val="44"/>
        </w:rPr>
      </w:pPr>
    </w:p>
    <w:p w14:paraId="2C9A2665">
      <w:pPr>
        <w:pStyle w:val="11"/>
        <w:numPr>
          <w:ilvl w:val="0"/>
          <w:numId w:val="2"/>
        </w:numPr>
        <w:ind w:firstLineChars="0"/>
        <w:rPr>
          <w:rFonts w:hint="eastAsia" w:ascii="黑体" w:hAnsi="黑体" w:eastAsia="黑体" w:cs="黑体"/>
          <w:b/>
          <w:sz w:val="32"/>
          <w:szCs w:val="32"/>
        </w:rPr>
      </w:pPr>
      <w:r>
        <w:rPr>
          <w:rFonts w:hint="eastAsia" w:ascii="黑体" w:hAnsi="黑体" w:eastAsia="黑体" w:cs="黑体"/>
          <w:b/>
          <w:sz w:val="32"/>
          <w:szCs w:val="32"/>
        </w:rPr>
        <w:t>项目概述</w:t>
      </w:r>
    </w:p>
    <w:p w14:paraId="6F0ADFDE">
      <w:pPr>
        <w:rPr>
          <w:rFonts w:hint="eastAsia" w:ascii="黑体" w:hAnsi="黑体" w:eastAsia="黑体" w:cs="黑体"/>
          <w:b/>
          <w:bCs w:val="0"/>
          <w:sz w:val="28"/>
          <w:szCs w:val="28"/>
        </w:rPr>
      </w:pPr>
      <w:r>
        <w:rPr>
          <w:rFonts w:hint="eastAsia" w:ascii="黑体" w:hAnsi="黑体" w:eastAsia="黑体" w:cs="黑体"/>
          <w:b/>
          <w:bCs w:val="0"/>
          <w:sz w:val="28"/>
          <w:szCs w:val="28"/>
        </w:rPr>
        <w:t>1.1项目概要</w:t>
      </w:r>
    </w:p>
    <w:p w14:paraId="486D2E16">
      <w:pPr>
        <w:ind w:firstLine="560" w:firstLineChars="200"/>
        <w:rPr>
          <w:rFonts w:hint="eastAsia" w:ascii="仿宋" w:hAnsi="仿宋" w:eastAsia="仿宋" w:cs="仿宋"/>
          <w:sz w:val="28"/>
          <w:szCs w:val="28"/>
        </w:rPr>
      </w:pPr>
      <w:r>
        <w:rPr>
          <w:rFonts w:hint="eastAsia" w:ascii="仿宋" w:hAnsi="仿宋" w:eastAsia="仿宋" w:cs="仿宋"/>
          <w:sz w:val="28"/>
          <w:szCs w:val="28"/>
        </w:rPr>
        <w:t>采购单位：上海开放大学</w:t>
      </w:r>
    </w:p>
    <w:p w14:paraId="7154E2C0">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 xml:space="preserve">项目名称： </w:t>
      </w:r>
      <w:r>
        <w:rPr>
          <w:rFonts w:hint="eastAsia" w:ascii="仿宋" w:hAnsi="仿宋" w:eastAsia="仿宋" w:cs="仿宋"/>
          <w:bCs/>
          <w:sz w:val="28"/>
          <w:szCs w:val="28"/>
        </w:rPr>
        <w:t>长三角学习型乡村</w:t>
      </w:r>
      <w:r>
        <w:rPr>
          <w:rFonts w:hint="eastAsia" w:ascii="仿宋" w:hAnsi="仿宋" w:eastAsia="仿宋" w:cs="仿宋"/>
          <w:bCs/>
          <w:sz w:val="28"/>
          <w:szCs w:val="28"/>
          <w:lang w:val="en-US" w:eastAsia="zh-CN"/>
        </w:rPr>
        <w:t>建设提质扩面项目</w:t>
      </w:r>
    </w:p>
    <w:p w14:paraId="4FB9A3B8">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项目预算：</w:t>
      </w: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万元（人民币）</w:t>
      </w:r>
    </w:p>
    <w:p w14:paraId="28DDBECF">
      <w:pPr>
        <w:rPr>
          <w:rFonts w:hint="eastAsia" w:ascii="黑体" w:hAnsi="黑体" w:eastAsia="黑体" w:cs="黑体"/>
          <w:b/>
          <w:bCs w:val="0"/>
          <w:sz w:val="28"/>
          <w:szCs w:val="28"/>
        </w:rPr>
      </w:pPr>
      <w:r>
        <w:rPr>
          <w:rFonts w:hint="eastAsia" w:ascii="黑体" w:hAnsi="黑体" w:eastAsia="黑体" w:cs="黑体"/>
          <w:b/>
          <w:bCs w:val="0"/>
          <w:sz w:val="28"/>
          <w:szCs w:val="28"/>
        </w:rPr>
        <w:t>1.2项目背景</w:t>
      </w:r>
    </w:p>
    <w:p w14:paraId="0EB53F3B">
      <w:pPr>
        <w:ind w:firstLine="420" w:firstLineChars="200"/>
        <w:rPr>
          <w:rFonts w:ascii="仿宋_GB2312" w:hAnsi="仿宋" w:eastAsia="仿宋_GB2312"/>
          <w:bCs w:val="0"/>
        </w:rPr>
      </w:pPr>
    </w:p>
    <w:p w14:paraId="1C38D2B6">
      <w:pPr>
        <w:snapToGrid w:val="0"/>
        <w:spacing w:line="360" w:lineRule="auto"/>
        <w:ind w:firstLine="560" w:firstLineChars="200"/>
        <w:rPr>
          <w:rFonts w:hint="eastAsia" w:ascii="仿宋_GB2312" w:hAnsi="仿宋" w:eastAsia="仿宋_GB2312"/>
          <w:bCs/>
          <w:sz w:val="28"/>
          <w:szCs w:val="28"/>
        </w:rPr>
      </w:pPr>
      <w:r>
        <w:rPr>
          <w:rFonts w:ascii="仿宋_GB2312" w:hAnsi="仿宋" w:eastAsia="仿宋_GB2312"/>
          <w:bCs/>
          <w:sz w:val="28"/>
          <w:szCs w:val="28"/>
        </w:rPr>
        <w:t>党的二十大报告明确提出，“建设全民终身学习的学习型社会、学习型大国”</w:t>
      </w:r>
      <w:r>
        <w:rPr>
          <w:rFonts w:hint="eastAsia" w:ascii="仿宋_GB2312" w:hAnsi="仿宋" w:eastAsia="仿宋_GB2312"/>
          <w:bCs/>
          <w:sz w:val="28"/>
          <w:szCs w:val="28"/>
        </w:rPr>
        <w:t>，</w:t>
      </w:r>
      <w:r>
        <w:rPr>
          <w:rFonts w:ascii="仿宋_GB2312" w:hAnsi="仿宋" w:eastAsia="仿宋_GB2312"/>
          <w:bCs/>
          <w:sz w:val="28"/>
          <w:szCs w:val="28"/>
        </w:rPr>
        <w:t>“全面推进乡村振兴”。长三角学习型乡村</w:t>
      </w:r>
      <w:r>
        <w:rPr>
          <w:rFonts w:hint="eastAsia" w:ascii="仿宋_GB2312" w:hAnsi="仿宋" w:eastAsia="仿宋_GB2312"/>
          <w:bCs/>
          <w:sz w:val="28"/>
          <w:szCs w:val="28"/>
          <w:lang w:val="en-US" w:eastAsia="zh-CN"/>
        </w:rPr>
        <w:t>建设提质扩面</w:t>
      </w:r>
      <w:r>
        <w:rPr>
          <w:rFonts w:ascii="仿宋_GB2312" w:hAnsi="仿宋" w:eastAsia="仿宋_GB2312"/>
          <w:bCs/>
          <w:sz w:val="28"/>
          <w:szCs w:val="28"/>
        </w:rPr>
        <w:t>项目是积极响应国家的重大发展战略，是把握长三角终身教育协同发展的契机，提升区域终身教育的服务能级的需要</w:t>
      </w:r>
      <w:r>
        <w:rPr>
          <w:rFonts w:hint="eastAsia" w:ascii="仿宋_GB2312" w:hAnsi="仿宋" w:eastAsia="仿宋_GB2312"/>
          <w:bCs/>
          <w:sz w:val="28"/>
          <w:szCs w:val="28"/>
        </w:rPr>
        <w:t>。</w:t>
      </w:r>
    </w:p>
    <w:p w14:paraId="38747E7E">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项目概况——</w:t>
      </w:r>
      <w:r>
        <w:rPr>
          <w:rFonts w:ascii="仿宋_GB2312" w:hAnsi="仿宋" w:eastAsia="仿宋_GB2312"/>
          <w:bCs/>
          <w:sz w:val="28"/>
          <w:szCs w:val="28"/>
        </w:rPr>
        <w:t>该项目的设立</w:t>
      </w:r>
      <w:r>
        <w:rPr>
          <w:rFonts w:hint="eastAsia" w:ascii="仿宋_GB2312" w:hAnsi="仿宋" w:eastAsia="仿宋_GB2312"/>
          <w:bCs/>
          <w:sz w:val="28"/>
          <w:szCs w:val="28"/>
          <w:lang w:val="en-US" w:eastAsia="zh-CN"/>
        </w:rPr>
        <w:t>在</w:t>
      </w:r>
      <w:r>
        <w:rPr>
          <w:rFonts w:ascii="仿宋_GB2312" w:hAnsi="仿宋" w:eastAsia="仿宋_GB2312"/>
          <w:bCs/>
          <w:sz w:val="28"/>
          <w:szCs w:val="28"/>
        </w:rPr>
        <w:t>贯彻落实</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关于探索长三角学习型乡村建设联盟推进机制的行动方案</w:t>
      </w:r>
      <w:r>
        <w:rPr>
          <w:rFonts w:hint="eastAsia" w:ascii="仿宋_GB2312" w:hAnsi="仿宋" w:eastAsia="仿宋_GB2312"/>
          <w:bCs/>
          <w:sz w:val="28"/>
          <w:szCs w:val="28"/>
          <w:lang w:eastAsia="zh-CN"/>
        </w:rPr>
        <w:t>》</w:t>
      </w:r>
      <w:r>
        <w:rPr>
          <w:rFonts w:ascii="仿宋_GB2312" w:hAnsi="仿宋" w:eastAsia="仿宋_GB2312"/>
          <w:bCs/>
          <w:sz w:val="28"/>
          <w:szCs w:val="28"/>
        </w:rPr>
        <w:t>《长三角地区社区教育、老年教育协同发展三年行动计划（2019- 2021年）》和《上海市终身教育发展“十四五”规划》</w:t>
      </w:r>
      <w:r>
        <w:rPr>
          <w:rFonts w:hint="eastAsia" w:ascii="仿宋_GB2312" w:hAnsi="仿宋" w:eastAsia="仿宋_GB2312"/>
          <w:bCs/>
          <w:sz w:val="28"/>
          <w:szCs w:val="28"/>
          <w:lang w:val="en-US" w:eastAsia="zh-CN"/>
        </w:rPr>
        <w:t>的基础上，</w:t>
      </w:r>
      <w:r>
        <w:rPr>
          <w:rFonts w:ascii="仿宋_GB2312" w:hAnsi="仿宋" w:eastAsia="仿宋_GB2312"/>
          <w:bCs/>
          <w:sz w:val="28"/>
          <w:szCs w:val="28"/>
        </w:rPr>
        <w:t>有利于面向长三角地区各类农村居民提供更加优质普惠、泛在可选的终身学习服务，将学习型乡村打造成为构建服务全民终身学习的教育体系的亮点工程。</w:t>
      </w:r>
    </w:p>
    <w:p w14:paraId="4AFDA340">
      <w:pPr>
        <w:snapToGrid w:val="0"/>
        <w:spacing w:line="360" w:lineRule="auto"/>
        <w:ind w:firstLine="560" w:firstLineChars="200"/>
        <w:rPr>
          <w:rFonts w:hint="eastAsia" w:ascii="仿宋_GB2312" w:hAnsi="仿宋" w:eastAsia="仿宋_GB2312"/>
          <w:bCs/>
          <w:sz w:val="28"/>
          <w:szCs w:val="28"/>
        </w:rPr>
      </w:pPr>
      <w:r>
        <w:rPr>
          <w:rFonts w:hint="eastAsia" w:ascii="仿宋_GB2312" w:hAnsi="仿宋" w:eastAsia="仿宋_GB2312"/>
          <w:bCs/>
          <w:sz w:val="28"/>
          <w:szCs w:val="28"/>
          <w:lang w:val="en-US" w:eastAsia="zh-CN"/>
        </w:rPr>
        <w:t>基础条件——</w:t>
      </w:r>
      <w:r>
        <w:rPr>
          <w:rFonts w:hint="eastAsia" w:ascii="仿宋_GB2312" w:hAnsi="仿宋" w:eastAsia="仿宋_GB2312"/>
          <w:bCs/>
          <w:sz w:val="28"/>
          <w:szCs w:val="28"/>
        </w:rPr>
        <w:t>为深入实施乡村振兴国家战略，2024年，在市教委终身教育处的领导下，由上海开放大学具体牵头，联合江苏、浙江、安徽四地的开放大学，共同实施了“长三角学习型乡村建设联盟推进机制探索”项目。四地建立联席会议机制</w:t>
      </w:r>
      <w:r>
        <w:rPr>
          <w:rFonts w:hint="eastAsia" w:ascii="仿宋_GB2312" w:hAnsi="仿宋" w:eastAsia="仿宋_GB2312"/>
          <w:bCs/>
          <w:sz w:val="28"/>
          <w:szCs w:val="28"/>
          <w:lang w:eastAsia="zh-CN"/>
        </w:rPr>
        <w:t>，</w:t>
      </w:r>
      <w:r>
        <w:rPr>
          <w:rFonts w:hint="eastAsia" w:ascii="仿宋_GB2312" w:hAnsi="仿宋" w:eastAsia="仿宋_GB2312"/>
          <w:bCs/>
          <w:sz w:val="28"/>
          <w:szCs w:val="28"/>
        </w:rPr>
        <w:t>相关工作负责人召开工作会议，讨论并明确了长三角学习型乡村建设的行动目标和主要任务。通过该项目，旨在不断完善服务体系、师资队伍、课程资源、在线平台、制度保障等重点方面。</w:t>
      </w:r>
    </w:p>
    <w:p w14:paraId="77E22A00">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前期工作——2024年，四地制定项目行动方案，联合印发了《关于探索长三角学习型乡村建设联盟推进机制的行动方案》（沪学指办〔2024〕11号），从完善支持服务体系，加强师资队伍建设，推动课程资源共享，举办特色学习活动，培育品牌学习项目，联合开展专题调研等六个方面部署了相关任务。组织开展长三角地区学习型乡村建设情况调研，四地形成了4份调研子报告，整理提炼出《长三角学习型乡村建设调研报告》。组织长三角学习型乡村建设研讨会一次，培训学习型乡村建设工作者100余人，征集到乡村主题的优质课程资源32门，遴选出长三角学习型乡村建设品牌项目34个。</w:t>
      </w:r>
    </w:p>
    <w:p w14:paraId="537A61F4">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1.3项目内容</w:t>
      </w:r>
    </w:p>
    <w:p w14:paraId="643072CE">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为贯彻“建设全民终身学习的学习型社会、学习型大国”，“全面推进乡村振兴”，“扎实推动乡村产业、人才、文化、生态、组织振兴”，本项目致力于促进长三角学习型乡村建设工作进一步提质扩面，推动乡村社区教育的蓬勃发展。主要工作围绕以下内容开展：</w:t>
      </w:r>
    </w:p>
    <w:p w14:paraId="0C75FC68">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（1）加强长三角学习型乡村建设试点村的结对共建与资源共享，凝聚各方参与力量，促进乡村学习主题资源的共享；</w:t>
      </w:r>
    </w:p>
    <w:p w14:paraId="0FC712EF">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（2）组织长三角学习型乡村建设工作者的培训交流，提升农村社区教育工作者的业务能力；</w:t>
      </w:r>
    </w:p>
    <w:p w14:paraId="51CE83D0">
      <w:pPr>
        <w:snapToGrid w:val="0"/>
        <w:spacing w:line="360" w:lineRule="auto"/>
        <w:ind w:firstLine="560" w:firstLineChars="200"/>
        <w:rPr>
          <w:rFonts w:hint="eastAsia" w:ascii="黑体" w:hAnsi="黑体" w:eastAsia="黑体" w:cs="黑体"/>
          <w:sz w:val="28"/>
          <w:szCs w:val="28"/>
        </w:rPr>
      </w:pPr>
      <w:r>
        <w:rPr>
          <w:rFonts w:hint="eastAsia" w:ascii="仿宋_GB2312" w:hAnsi="仿宋" w:eastAsia="仿宋_GB2312"/>
          <w:bCs/>
          <w:sz w:val="28"/>
          <w:szCs w:val="28"/>
          <w:lang w:val="en-US" w:eastAsia="zh-CN"/>
        </w:rPr>
        <w:t>（3）举办长三角学习型乡村建设研讨会，搭建交流展示平台，加快建立跨区域的合作关系，扩大学习型乡村建设的覆盖面和影响力。</w:t>
      </w:r>
    </w:p>
    <w:p w14:paraId="7B31B08F">
      <w:pPr>
        <w:snapToGrid w:val="0"/>
        <w:spacing w:line="360" w:lineRule="auto"/>
        <w:rPr>
          <w:rFonts w:hint="eastAsia" w:ascii="黑体" w:hAnsi="黑体" w:eastAsia="黑体" w:cs="黑体"/>
          <w:bCs/>
          <w:sz w:val="28"/>
          <w:szCs w:val="28"/>
          <w:lang w:val="en-US" w:eastAsia="zh-CN"/>
        </w:rPr>
      </w:pPr>
      <w:r>
        <w:rPr>
          <w:rFonts w:hint="eastAsia" w:ascii="黑体" w:hAnsi="黑体" w:eastAsia="黑体" w:cs="黑体"/>
          <w:b/>
          <w:sz w:val="28"/>
          <w:szCs w:val="28"/>
        </w:rPr>
        <w:t>1.</w:t>
      </w:r>
      <w:r>
        <w:rPr>
          <w:rFonts w:hint="eastAsia" w:ascii="黑体" w:hAnsi="黑体" w:eastAsia="黑体" w:cs="黑体"/>
          <w:b/>
          <w:sz w:val="28"/>
          <w:szCs w:val="28"/>
          <w:lang w:val="en-US" w:eastAsia="zh-CN"/>
        </w:rPr>
        <w:t>4</w:t>
      </w:r>
      <w:r>
        <w:rPr>
          <w:rFonts w:hint="eastAsia" w:ascii="黑体" w:hAnsi="黑体" w:eastAsia="黑体" w:cs="黑体"/>
          <w:b/>
          <w:sz w:val="28"/>
          <w:szCs w:val="28"/>
        </w:rPr>
        <w:t>项目时间</w:t>
      </w:r>
    </w:p>
    <w:p w14:paraId="0415D75A">
      <w:pPr>
        <w:snapToGrid w:val="0"/>
        <w:spacing w:line="360" w:lineRule="auto"/>
        <w:ind w:firstLine="560" w:firstLineChars="200"/>
        <w:rPr>
          <w:rFonts w:ascii="仿宋_GB2312" w:hAnsi="仿宋" w:eastAsia="仿宋_GB2312"/>
        </w:rPr>
      </w:pPr>
      <w:r>
        <w:rPr>
          <w:rFonts w:hint="eastAsia" w:ascii="仿宋_GB2312" w:hAnsi="仿宋" w:eastAsia="仿宋_GB2312"/>
          <w:bCs/>
          <w:sz w:val="28"/>
          <w:szCs w:val="28"/>
          <w:lang w:val="en-US" w:eastAsia="zh-CN"/>
        </w:rPr>
        <w:t>合同签订之日起至2025年12月31日，并在2025年12月31日前根据采购方的要求完成项目验收工作。</w:t>
      </w:r>
    </w:p>
    <w:p w14:paraId="7FEFE3CF">
      <w:pPr>
        <w:pStyle w:val="2"/>
        <w:numPr>
          <w:ilvl w:val="0"/>
          <w:numId w:val="0"/>
        </w:numPr>
        <w:adjustRightInd w:val="0"/>
        <w:spacing w:before="0" w:after="0" w:line="360" w:lineRule="auto"/>
        <w:rPr>
          <w:rFonts w:ascii="仿宋_GB2312" w:hAnsi="仿宋" w:eastAsia="仿宋_GB2312"/>
          <w:bCs/>
          <w:sz w:val="28"/>
          <w:szCs w:val="28"/>
        </w:rPr>
      </w:pPr>
      <w:r>
        <w:rPr>
          <w:rFonts w:hint="eastAsia" w:ascii="黑体" w:hAnsi="黑体" w:eastAsia="黑体" w:cs="黑体"/>
          <w:sz w:val="32"/>
          <w:szCs w:val="32"/>
        </w:rPr>
        <w:t>2.项目内容需求</w:t>
      </w:r>
    </w:p>
    <w:p w14:paraId="1094624F">
      <w:pPr>
        <w:snapToGrid w:val="0"/>
        <w:spacing w:line="360" w:lineRule="auto"/>
        <w:rPr>
          <w:rFonts w:hint="eastAsia" w:ascii="黑体" w:hAnsi="黑体" w:eastAsia="黑体" w:cs="黑体"/>
          <w:b/>
          <w:bCs w:val="0"/>
          <w:sz w:val="28"/>
          <w:szCs w:val="28"/>
        </w:rPr>
      </w:pPr>
      <w:r>
        <w:rPr>
          <w:rFonts w:hint="eastAsia" w:ascii="黑体" w:hAnsi="黑体" w:eastAsia="黑体" w:cs="黑体"/>
          <w:b/>
          <w:bCs w:val="0"/>
          <w:sz w:val="28"/>
          <w:szCs w:val="28"/>
          <w:lang w:val="en-US" w:eastAsia="zh-CN"/>
        </w:rPr>
        <w:t>2.1长三角学习型乡村建设</w:t>
      </w:r>
      <w:r>
        <w:rPr>
          <w:rFonts w:hint="eastAsia" w:ascii="黑体" w:hAnsi="黑体" w:eastAsia="黑体" w:cs="黑体"/>
          <w:b/>
          <w:bCs w:val="0"/>
          <w:sz w:val="28"/>
          <w:szCs w:val="28"/>
        </w:rPr>
        <w:t>调研服务</w:t>
      </w:r>
    </w:p>
    <w:p w14:paraId="27138734">
      <w:pPr>
        <w:snapToGrid w:val="0"/>
        <w:spacing w:line="360" w:lineRule="auto"/>
        <w:ind w:firstLine="560" w:firstLineChars="200"/>
        <w:rPr>
          <w:rFonts w:hint="default" w:ascii="仿宋_GB2312" w:hAnsi="仿宋" w:eastAsia="仿宋_GB2312"/>
          <w:bCs/>
          <w:sz w:val="28"/>
          <w:szCs w:val="28"/>
        </w:rPr>
      </w:pPr>
      <w:r>
        <w:rPr>
          <w:rFonts w:hint="default" w:ascii="仿宋_GB2312" w:hAnsi="仿宋" w:eastAsia="仿宋_GB2312"/>
          <w:bCs/>
          <w:sz w:val="28"/>
          <w:szCs w:val="28"/>
        </w:rPr>
        <w:t>组织调研</w:t>
      </w:r>
      <w:r>
        <w:rPr>
          <w:rFonts w:hint="eastAsia" w:ascii="仿宋_GB2312" w:hAnsi="仿宋" w:eastAsia="仿宋_GB2312"/>
          <w:bCs/>
          <w:sz w:val="28"/>
          <w:szCs w:val="28"/>
          <w:lang w:val="en-US" w:eastAsia="zh-CN"/>
        </w:rPr>
        <w:t>走访</w:t>
      </w:r>
      <w:r>
        <w:rPr>
          <w:rFonts w:hint="default" w:ascii="仿宋_GB2312" w:hAnsi="仿宋" w:eastAsia="仿宋_GB2312"/>
          <w:bCs/>
          <w:sz w:val="28"/>
          <w:szCs w:val="28"/>
        </w:rPr>
        <w:t>活动，对收集到的</w:t>
      </w:r>
      <w:r>
        <w:rPr>
          <w:rFonts w:hint="eastAsia" w:ascii="仿宋_GB2312" w:hAnsi="仿宋" w:eastAsia="仿宋_GB2312"/>
          <w:bCs/>
          <w:sz w:val="28"/>
          <w:szCs w:val="28"/>
          <w:lang w:val="en-US" w:eastAsia="zh-CN"/>
        </w:rPr>
        <w:t>长三角学习型乡村</w:t>
      </w:r>
      <w:r>
        <w:rPr>
          <w:rFonts w:hint="default" w:ascii="仿宋_GB2312" w:hAnsi="仿宋" w:eastAsia="仿宋_GB2312"/>
          <w:bCs/>
          <w:sz w:val="28"/>
          <w:szCs w:val="28"/>
        </w:rPr>
        <w:t>调研数据进行系统分类、整理与归档</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形成</w:t>
      </w:r>
      <w:r>
        <w:rPr>
          <w:rFonts w:hint="default" w:ascii="仿宋_GB2312" w:hAnsi="仿宋" w:eastAsia="仿宋_GB2312"/>
          <w:bCs/>
          <w:sz w:val="28"/>
          <w:szCs w:val="28"/>
        </w:rPr>
        <w:t>调研报告</w:t>
      </w:r>
      <w:r>
        <w:rPr>
          <w:rFonts w:hint="eastAsia" w:ascii="仿宋_GB2312" w:hAnsi="仿宋" w:eastAsia="仿宋_GB2312"/>
          <w:bCs/>
          <w:sz w:val="28"/>
          <w:szCs w:val="28"/>
          <w:lang w:val="en-US" w:eastAsia="zh-CN"/>
        </w:rPr>
        <w:t>1份</w:t>
      </w:r>
      <w:r>
        <w:rPr>
          <w:rFonts w:hint="default" w:ascii="仿宋_GB2312" w:hAnsi="仿宋" w:eastAsia="仿宋_GB2312"/>
          <w:bCs/>
          <w:sz w:val="28"/>
          <w:szCs w:val="28"/>
        </w:rPr>
        <w:t>。利用社交媒体、官方网站等渠道进行调研成果的宣传与推广。提供</w:t>
      </w:r>
      <w:r>
        <w:rPr>
          <w:rFonts w:hint="eastAsia" w:ascii="仿宋_GB2312" w:hAnsi="仿宋" w:eastAsia="仿宋_GB2312"/>
          <w:bCs/>
          <w:sz w:val="28"/>
          <w:szCs w:val="28"/>
          <w:lang w:val="en-US" w:eastAsia="zh-CN"/>
        </w:rPr>
        <w:t>相关</w:t>
      </w:r>
      <w:r>
        <w:rPr>
          <w:rFonts w:hint="default" w:ascii="仿宋_GB2312" w:hAnsi="仿宋" w:eastAsia="仿宋_GB2312"/>
          <w:bCs/>
          <w:sz w:val="28"/>
          <w:szCs w:val="28"/>
        </w:rPr>
        <w:t>必要的</w:t>
      </w:r>
      <w:r>
        <w:rPr>
          <w:rFonts w:hint="eastAsia" w:ascii="仿宋_GB2312" w:hAnsi="仿宋" w:eastAsia="仿宋_GB2312"/>
          <w:bCs/>
          <w:sz w:val="28"/>
          <w:szCs w:val="28"/>
          <w:lang w:val="en-US" w:eastAsia="zh-CN"/>
        </w:rPr>
        <w:t>文稿梳理、</w:t>
      </w:r>
      <w:r>
        <w:rPr>
          <w:rFonts w:hint="default" w:ascii="仿宋_GB2312" w:hAnsi="仿宋" w:eastAsia="仿宋_GB2312"/>
          <w:bCs/>
          <w:sz w:val="28"/>
          <w:szCs w:val="28"/>
        </w:rPr>
        <w:t>材料印刷</w:t>
      </w:r>
      <w:r>
        <w:rPr>
          <w:rFonts w:hint="eastAsia" w:ascii="仿宋_GB2312" w:hAnsi="仿宋" w:eastAsia="仿宋_GB2312"/>
          <w:bCs/>
          <w:sz w:val="28"/>
          <w:szCs w:val="28"/>
          <w:lang w:val="en-US" w:eastAsia="zh-CN"/>
        </w:rPr>
        <w:t>等服务</w:t>
      </w:r>
      <w:r>
        <w:rPr>
          <w:rFonts w:hint="default" w:ascii="仿宋_GB2312" w:hAnsi="仿宋" w:eastAsia="仿宋_GB2312"/>
          <w:bCs/>
          <w:sz w:val="28"/>
          <w:szCs w:val="28"/>
        </w:rPr>
        <w:t>。</w:t>
      </w:r>
    </w:p>
    <w:p w14:paraId="34E37CBE">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2.2长三角学习型乡村建设试点村的结对共建与资源共享</w:t>
      </w:r>
    </w:p>
    <w:p w14:paraId="3E53AAED">
      <w:pPr>
        <w:keepNext w:val="0"/>
        <w:keepLines w:val="0"/>
        <w:widowControl/>
        <w:suppressLineNumbers w:val="0"/>
        <w:spacing w:line="36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组织开展</w:t>
      </w:r>
      <w:r>
        <w:rPr>
          <w:rFonts w:hint="eastAsia" w:ascii="仿宋_GB2312" w:hAnsi="仿宋_GB2312" w:eastAsia="仿宋_GB2312" w:cs="仿宋_GB2312"/>
          <w:sz w:val="28"/>
          <w:szCs w:val="28"/>
          <w:lang w:val="en-US" w:eastAsia="zh-CN"/>
        </w:rPr>
        <w:t>长三角学习型乡村</w:t>
      </w:r>
      <w:r>
        <w:rPr>
          <w:rFonts w:hint="eastAsia" w:ascii="仿宋_GB2312" w:hAnsi="仿宋_GB2312" w:eastAsia="仿宋_GB2312" w:cs="仿宋_GB2312"/>
          <w:sz w:val="28"/>
          <w:szCs w:val="28"/>
        </w:rPr>
        <w:t>品牌项目评审会，对申报项目提供咨询、资料收集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文稿梳理</w:t>
      </w:r>
      <w:r>
        <w:rPr>
          <w:rFonts w:hint="eastAsia" w:ascii="仿宋_GB2312" w:hAnsi="仿宋_GB2312" w:eastAsia="仿宋_GB2312" w:cs="仿宋_GB2312"/>
          <w:sz w:val="28"/>
          <w:szCs w:val="28"/>
        </w:rPr>
        <w:t>等支持；</w:t>
      </w:r>
      <w:r>
        <w:rPr>
          <w:rFonts w:hint="eastAsia" w:ascii="仿宋_GB2312" w:hAnsi="仿宋_GB2312" w:eastAsia="仿宋_GB2312" w:cs="仿宋_GB2312"/>
          <w:sz w:val="28"/>
          <w:szCs w:val="28"/>
          <w:lang w:val="en-US" w:eastAsia="zh-CN"/>
        </w:rPr>
        <w:t>促进长三角学习村建设试点村区域结对共建；</w:t>
      </w:r>
      <w:r>
        <w:rPr>
          <w:rFonts w:hint="eastAsia" w:ascii="仿宋_GB2312" w:hAnsi="仿宋_GB2312" w:eastAsia="仿宋_GB2312" w:cs="仿宋_GB2312"/>
          <w:sz w:val="28"/>
          <w:szCs w:val="28"/>
        </w:rPr>
        <w:t>组织精准化的数字化学习资源配送不少于1次，</w:t>
      </w:r>
      <w:r>
        <w:rPr>
          <w:rFonts w:hint="eastAsia" w:ascii="仿宋_GB2312" w:hAnsi="仿宋_GB2312" w:eastAsia="仿宋_GB2312" w:cs="仿宋_GB2312"/>
          <w:sz w:val="28"/>
          <w:szCs w:val="28"/>
          <w:lang w:val="en-US" w:eastAsia="zh-CN"/>
        </w:rPr>
        <w:t>深度挖掘数字技术的潜力，构建课程资源共享的桥梁，增强优质课程资源的普及度与可及性，从而惠及更广泛的乡村居民。</w:t>
      </w:r>
    </w:p>
    <w:p w14:paraId="5D5DBA6D">
      <w:pPr>
        <w:snapToGrid w:val="0"/>
        <w:spacing w:line="360" w:lineRule="auto"/>
        <w:rPr>
          <w:rFonts w:hint="eastAsia" w:ascii="黑体" w:hAnsi="黑体" w:eastAsia="黑体" w:cs="黑体"/>
          <w:b/>
          <w:bCs/>
          <w:sz w:val="28"/>
          <w:szCs w:val="28"/>
        </w:rPr>
      </w:pPr>
      <w:r>
        <w:rPr>
          <w:rFonts w:hint="eastAsia" w:ascii="黑体" w:hAnsi="黑体" w:eastAsia="黑体" w:cs="黑体"/>
          <w:b/>
          <w:bCs/>
          <w:sz w:val="28"/>
          <w:szCs w:val="28"/>
        </w:rPr>
        <w:t>2</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3 2025年度</w:t>
      </w:r>
      <w:r>
        <w:rPr>
          <w:rFonts w:hint="eastAsia" w:ascii="黑体" w:hAnsi="黑体" w:eastAsia="黑体" w:cs="黑体"/>
          <w:b/>
          <w:bCs/>
          <w:sz w:val="28"/>
          <w:szCs w:val="28"/>
        </w:rPr>
        <w:t>长三角学习型乡村建设</w:t>
      </w:r>
      <w:r>
        <w:rPr>
          <w:rFonts w:hint="eastAsia" w:ascii="黑体" w:hAnsi="黑体" w:eastAsia="黑体" w:cs="黑体"/>
          <w:b/>
          <w:bCs/>
          <w:sz w:val="28"/>
          <w:szCs w:val="28"/>
          <w:lang w:val="en-US" w:eastAsia="zh-CN"/>
        </w:rPr>
        <w:t>研讨会会议</w:t>
      </w:r>
      <w:r>
        <w:rPr>
          <w:rFonts w:hint="eastAsia" w:ascii="黑体" w:hAnsi="黑体" w:eastAsia="黑体" w:cs="黑体"/>
          <w:b/>
          <w:bCs/>
          <w:sz w:val="28"/>
          <w:szCs w:val="28"/>
        </w:rPr>
        <w:t>服务</w:t>
      </w:r>
    </w:p>
    <w:p w14:paraId="13838646">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rPr>
        <w:t>提供1场长三角学习型乡村建设</w:t>
      </w:r>
      <w:r>
        <w:rPr>
          <w:rFonts w:hint="eastAsia" w:ascii="仿宋_GB2312" w:hAnsi="仿宋" w:eastAsia="仿宋_GB2312"/>
          <w:bCs/>
          <w:sz w:val="28"/>
          <w:szCs w:val="28"/>
          <w:lang w:val="en-US" w:eastAsia="zh-CN"/>
        </w:rPr>
        <w:t>研讨会会议</w:t>
      </w:r>
      <w:r>
        <w:rPr>
          <w:rFonts w:hint="eastAsia" w:ascii="仿宋_GB2312" w:hAnsi="仿宋" w:eastAsia="仿宋_GB2312"/>
          <w:bCs/>
          <w:sz w:val="28"/>
          <w:szCs w:val="28"/>
        </w:rPr>
        <w:t>服务</w:t>
      </w:r>
      <w:r>
        <w:rPr>
          <w:rFonts w:hint="default" w:ascii="仿宋_GB2312" w:hAnsi="仿宋" w:eastAsia="仿宋_GB2312"/>
          <w:bCs/>
          <w:sz w:val="28"/>
          <w:szCs w:val="28"/>
        </w:rPr>
        <w:t>，</w:t>
      </w:r>
      <w:r>
        <w:rPr>
          <w:rFonts w:hint="eastAsia" w:ascii="仿宋_GB2312" w:hAnsi="仿宋" w:eastAsia="仿宋_GB2312"/>
          <w:bCs/>
          <w:sz w:val="28"/>
          <w:szCs w:val="28"/>
          <w:lang w:val="en-US" w:eastAsia="zh-CN"/>
        </w:rPr>
        <w:t>参会人员</w:t>
      </w:r>
      <w:r>
        <w:rPr>
          <w:rFonts w:hint="eastAsia" w:ascii="仿宋_GB2312" w:hAnsi="仿宋" w:eastAsia="仿宋_GB2312"/>
          <w:bCs/>
          <w:sz w:val="28"/>
          <w:szCs w:val="28"/>
        </w:rPr>
        <w:t>规模不少于200人。</w:t>
      </w:r>
      <w:r>
        <w:rPr>
          <w:rFonts w:hint="eastAsia" w:ascii="仿宋_GB2312" w:hAnsi="仿宋" w:eastAsia="仿宋_GB2312"/>
          <w:bCs/>
          <w:sz w:val="28"/>
          <w:szCs w:val="28"/>
          <w:lang w:val="en-US" w:eastAsia="zh-CN"/>
        </w:rPr>
        <w:t>服务内容</w:t>
      </w:r>
      <w:r>
        <w:rPr>
          <w:rFonts w:hint="eastAsia" w:ascii="仿宋_GB2312" w:hAnsi="仿宋" w:eastAsia="仿宋_GB2312"/>
          <w:bCs/>
          <w:sz w:val="28"/>
          <w:szCs w:val="28"/>
        </w:rPr>
        <w:t>包括</w:t>
      </w:r>
      <w:r>
        <w:rPr>
          <w:rFonts w:hint="default" w:ascii="仿宋_GB2312" w:hAnsi="仿宋" w:eastAsia="仿宋_GB2312"/>
          <w:bCs/>
          <w:sz w:val="28"/>
          <w:szCs w:val="28"/>
        </w:rPr>
        <w:t>提供</w:t>
      </w:r>
      <w:r>
        <w:rPr>
          <w:rFonts w:hint="eastAsia" w:ascii="仿宋_GB2312" w:hAnsi="仿宋" w:eastAsia="仿宋_GB2312"/>
          <w:bCs/>
          <w:sz w:val="28"/>
          <w:szCs w:val="28"/>
        </w:rPr>
        <w:t>咨询、会议</w:t>
      </w:r>
      <w:r>
        <w:rPr>
          <w:rFonts w:hint="default" w:ascii="仿宋_GB2312" w:hAnsi="仿宋" w:eastAsia="仿宋_GB2312"/>
          <w:bCs/>
          <w:sz w:val="28"/>
          <w:szCs w:val="28"/>
        </w:rPr>
        <w:t>场地、</w:t>
      </w:r>
      <w:r>
        <w:rPr>
          <w:rFonts w:hint="eastAsia" w:ascii="仿宋_GB2312" w:hAnsi="仿宋" w:eastAsia="仿宋_GB2312"/>
          <w:bCs/>
          <w:sz w:val="28"/>
          <w:szCs w:val="28"/>
        </w:rPr>
        <w:t>人员用餐、</w:t>
      </w:r>
      <w:r>
        <w:rPr>
          <w:rFonts w:hint="eastAsia" w:ascii="仿宋_GB2312" w:hAnsi="仿宋" w:eastAsia="仿宋_GB2312"/>
          <w:bCs/>
          <w:sz w:val="28"/>
          <w:szCs w:val="28"/>
          <w:lang w:val="en-US" w:eastAsia="zh-CN"/>
        </w:rPr>
        <w:t>人员组织</w:t>
      </w:r>
      <w:r>
        <w:rPr>
          <w:rFonts w:hint="default" w:ascii="仿宋_GB2312" w:hAnsi="仿宋" w:eastAsia="仿宋_GB2312"/>
          <w:bCs/>
          <w:sz w:val="28"/>
          <w:szCs w:val="28"/>
        </w:rPr>
        <w:t>、摄影摄像</w:t>
      </w:r>
      <w:r>
        <w:rPr>
          <w:rFonts w:hint="eastAsia" w:ascii="仿宋_GB2312" w:hAnsi="仿宋" w:eastAsia="仿宋_GB2312"/>
          <w:bCs/>
          <w:sz w:val="28"/>
          <w:szCs w:val="28"/>
        </w:rPr>
        <w:t>、宣传设计、</w:t>
      </w:r>
      <w:r>
        <w:rPr>
          <w:rFonts w:hint="eastAsia" w:ascii="仿宋_GB2312" w:hAnsi="仿宋" w:eastAsia="仿宋_GB2312"/>
          <w:bCs/>
          <w:sz w:val="28"/>
          <w:szCs w:val="28"/>
          <w:lang w:val="en-US" w:eastAsia="zh-CN"/>
        </w:rPr>
        <w:t>会场</w:t>
      </w:r>
      <w:r>
        <w:rPr>
          <w:rFonts w:hint="eastAsia" w:ascii="仿宋_GB2312" w:hAnsi="仿宋" w:eastAsia="仿宋_GB2312"/>
          <w:bCs/>
          <w:sz w:val="28"/>
          <w:szCs w:val="28"/>
        </w:rPr>
        <w:t>技术服务、资料制作、会务执行</w:t>
      </w:r>
      <w:r>
        <w:rPr>
          <w:rFonts w:hint="default" w:ascii="仿宋_GB2312" w:hAnsi="仿宋" w:eastAsia="仿宋_GB2312"/>
          <w:bCs/>
          <w:sz w:val="28"/>
          <w:szCs w:val="28"/>
        </w:rPr>
        <w:t>等服务。</w:t>
      </w:r>
      <w:r>
        <w:rPr>
          <w:rFonts w:hint="eastAsia" w:ascii="仿宋_GB2312" w:hAnsi="仿宋" w:eastAsia="仿宋_GB2312"/>
          <w:bCs/>
          <w:sz w:val="28"/>
          <w:szCs w:val="28"/>
          <w:lang w:val="en-US" w:eastAsia="zh-CN"/>
        </w:rPr>
        <w:t>需</w:t>
      </w:r>
      <w:r>
        <w:rPr>
          <w:rFonts w:hint="default" w:ascii="仿宋_GB2312" w:hAnsi="仿宋" w:eastAsia="仿宋_GB2312"/>
          <w:bCs/>
          <w:sz w:val="28"/>
          <w:szCs w:val="28"/>
        </w:rPr>
        <w:t>提供从联络协调、人力设备调配、文稿撰写、</w:t>
      </w:r>
      <w:r>
        <w:rPr>
          <w:rFonts w:hint="eastAsia" w:ascii="仿宋_GB2312" w:hAnsi="仿宋" w:eastAsia="仿宋_GB2312"/>
          <w:bCs/>
          <w:sz w:val="28"/>
          <w:szCs w:val="28"/>
          <w:lang w:val="en-US" w:eastAsia="zh-CN"/>
        </w:rPr>
        <w:t>会场组织、</w:t>
      </w:r>
      <w:r>
        <w:rPr>
          <w:rFonts w:hint="default" w:ascii="仿宋_GB2312" w:hAnsi="仿宋" w:eastAsia="仿宋_GB2312"/>
          <w:bCs/>
          <w:sz w:val="28"/>
          <w:szCs w:val="28"/>
        </w:rPr>
        <w:t>媒体宣传、后期执行等一站式项目管理服务，确保项目执行的流畅性和高效性。</w:t>
      </w:r>
    </w:p>
    <w:p w14:paraId="5CD0E916">
      <w:pPr>
        <w:ind w:firstLine="420" w:firstLineChars="200"/>
        <w:rPr>
          <w:rFonts w:ascii="华文楷体" w:hAnsi="华文楷体" w:eastAsia="华文楷体" w:cs="华文楷体"/>
          <w:bCs w:val="0"/>
          <w:color w:val="FF0000"/>
          <w:kern w:val="44"/>
        </w:rPr>
      </w:pPr>
    </w:p>
    <w:p w14:paraId="711E5851">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3.实施过程要求</w:t>
      </w:r>
      <w:bookmarkStart w:id="0" w:name="_Toc12518708"/>
      <w:bookmarkStart w:id="1" w:name="_Toc432518471"/>
    </w:p>
    <w:p w14:paraId="0AEFA461">
      <w:pPr>
        <w:adjustRightInd w:val="0"/>
        <w:snapToGrid/>
        <w:rPr>
          <w:rFonts w:hint="eastAsia" w:ascii="黑体" w:hAnsi="黑体" w:eastAsia="黑体" w:cs="黑体"/>
          <w:b/>
          <w:sz w:val="28"/>
          <w:szCs w:val="28"/>
        </w:rPr>
      </w:pPr>
      <w:r>
        <w:rPr>
          <w:rFonts w:hint="eastAsia" w:ascii="黑体" w:hAnsi="黑体" w:eastAsia="黑体" w:cs="黑体"/>
          <w:b/>
          <w:sz w:val="28"/>
          <w:szCs w:val="28"/>
        </w:rPr>
        <w:t>3.1知识产权及版权归属说明</w:t>
      </w:r>
      <w:bookmarkEnd w:id="0"/>
      <w:bookmarkEnd w:id="1"/>
    </w:p>
    <w:p w14:paraId="2332A547">
      <w:pPr>
        <w:adjustRightInd w:val="0"/>
        <w:snapToGrid/>
        <w:ind w:firstLine="560" w:firstLineChars="200"/>
        <w:rPr>
          <w:rFonts w:ascii="仿宋_GB2312" w:hAnsi="仿宋" w:eastAsia="仿宋_GB2312"/>
          <w:sz w:val="28"/>
          <w:szCs w:val="28"/>
        </w:rPr>
      </w:pPr>
      <w:r>
        <w:rPr>
          <w:rFonts w:hint="eastAsia" w:ascii="仿宋_GB2312" w:hAnsi="仿宋" w:eastAsia="仿宋_GB2312"/>
          <w:sz w:val="28"/>
          <w:szCs w:val="28"/>
        </w:rPr>
        <w:t>本项目涉及的相关服务成果，采购方享有知识产权与版权。涉及产品购买或租赁的，采购方拥有最终产品完全使用权。涉及资源成果的，采购方享有完全使用权。未经书面同意或授权，供应商不得用作其他商业用途等。</w:t>
      </w:r>
    </w:p>
    <w:p w14:paraId="5B222537">
      <w:pPr>
        <w:adjustRightInd w:val="0"/>
        <w:snapToGrid/>
        <w:ind w:firstLine="560" w:firstLineChars="200"/>
        <w:rPr>
          <w:sz w:val="28"/>
          <w:szCs w:val="28"/>
        </w:rPr>
      </w:pPr>
      <w:r>
        <w:rPr>
          <w:rFonts w:hint="eastAsia" w:ascii="仿宋_GB2312" w:hAnsi="仿宋" w:eastAsia="仿宋_GB2312"/>
          <w:sz w:val="28"/>
          <w:szCs w:val="28"/>
        </w:rPr>
        <w:t>供应商应保障项目设计内容及技术，不受任何第三方关于侵犯著作权、肖像权、专利权、商标权或工业设计权的指控。如任何第三方提出关于知识产权的异议，供应商必须与第三方交涉并承担由此引起的一切法律责任和费用，包括赔偿采购方的连带损失。</w:t>
      </w:r>
    </w:p>
    <w:p w14:paraId="41A4A48D">
      <w:pPr>
        <w:adjustRightInd w:val="0"/>
        <w:snapToGrid/>
        <w:rPr>
          <w:rFonts w:hint="eastAsia" w:ascii="黑体" w:hAnsi="黑体" w:eastAsia="黑体" w:cs="黑体"/>
          <w:b/>
          <w:sz w:val="28"/>
          <w:szCs w:val="28"/>
        </w:rPr>
      </w:pPr>
      <w:bookmarkStart w:id="2" w:name="_Toc432518473"/>
      <w:bookmarkStart w:id="3" w:name="_Toc12518709"/>
      <w:r>
        <w:rPr>
          <w:rFonts w:hint="eastAsia" w:ascii="黑体" w:hAnsi="黑体" w:eastAsia="黑体" w:cs="黑体"/>
          <w:b/>
          <w:sz w:val="28"/>
          <w:szCs w:val="28"/>
        </w:rPr>
        <w:t>3.2项目团队及实施要求说明</w:t>
      </w:r>
      <w:bookmarkEnd w:id="2"/>
      <w:bookmarkEnd w:id="3"/>
    </w:p>
    <w:p w14:paraId="1CB3D5CD">
      <w:pPr>
        <w:adjustRightInd w:val="0"/>
        <w:snapToGrid/>
        <w:ind w:firstLine="560" w:firstLineChars="200"/>
        <w:rPr>
          <w:rFonts w:hint="eastAsia" w:ascii="方正仿宋_GB18030" w:hAnsi="方正仿宋_GB18030" w:eastAsia="方正仿宋_GB18030" w:cs="方正仿宋_GB18030"/>
          <w:b w:val="0"/>
          <w:bCs/>
          <w:sz w:val="28"/>
          <w:szCs w:val="28"/>
        </w:rPr>
      </w:pPr>
      <w:bookmarkStart w:id="4" w:name="_Hlk99724842"/>
      <w:r>
        <w:rPr>
          <w:rFonts w:hint="eastAsia" w:ascii="方正仿宋_GB18030" w:hAnsi="方正仿宋_GB18030" w:eastAsia="方正仿宋_GB18030" w:cs="方正仿宋_GB18030"/>
          <w:b w:val="0"/>
          <w:bCs/>
          <w:sz w:val="28"/>
          <w:szCs w:val="28"/>
        </w:rPr>
        <w:t>供应商需设立固定的项目实施团队，以便及时按要求进行项目协调、服务工作，具体职责服从采购方安排、能适应采购方常规业务需要。提供近三年完成类似项目情况及成效说明。</w:t>
      </w:r>
    </w:p>
    <w:p w14:paraId="558C5A4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供应商需要更换项目负责人的，应提前7天书面通知采购方，并征得采购方书面同意。采购方有权通知供应商更换其认为不称职的项目负责人。在具体项目实施各阶段，项目组如变更项目实施人员，应告知采购方。</w:t>
      </w:r>
    </w:p>
    <w:p w14:paraId="0883EFFC">
      <w:pPr>
        <w:adjustRightInd w:val="0"/>
        <w:snapToGrid/>
        <w:rPr>
          <w:rFonts w:hint="eastAsia" w:ascii="黑体" w:hAnsi="黑体" w:eastAsia="黑体" w:cs="黑体"/>
          <w:b/>
          <w:sz w:val="28"/>
          <w:szCs w:val="28"/>
        </w:rPr>
      </w:pPr>
      <w:r>
        <w:rPr>
          <w:rFonts w:hint="eastAsia" w:ascii="黑体" w:hAnsi="黑体" w:eastAsia="黑体" w:cs="黑体"/>
          <w:b/>
          <w:sz w:val="28"/>
          <w:szCs w:val="28"/>
        </w:rPr>
        <w:t>3.3保密说明</w:t>
      </w:r>
    </w:p>
    <w:p w14:paraId="2672923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项目管理实施过程中，不得向其他个人或单位泄露本项目的过程资料和成果资料。</w:t>
      </w:r>
      <w:bookmarkEnd w:id="4"/>
    </w:p>
    <w:p w14:paraId="22FC86C0">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4.项目验收要求</w:t>
      </w:r>
    </w:p>
    <w:p w14:paraId="2A2B5E1B">
      <w:pPr>
        <w:adjustRightInd w:val="0"/>
        <w:rPr>
          <w:rFonts w:hint="eastAsia" w:ascii="黑体" w:hAnsi="黑体" w:eastAsia="黑体" w:cs="黑体"/>
          <w:b/>
          <w:sz w:val="28"/>
          <w:szCs w:val="28"/>
        </w:rPr>
      </w:pPr>
      <w:bookmarkStart w:id="5" w:name="_Toc12518714"/>
      <w:r>
        <w:rPr>
          <w:rFonts w:hint="eastAsia" w:ascii="黑体" w:hAnsi="黑体" w:eastAsia="黑体" w:cs="黑体"/>
          <w:b/>
          <w:sz w:val="28"/>
          <w:szCs w:val="28"/>
        </w:rPr>
        <w:t>4.1项目验收标准</w:t>
      </w:r>
      <w:bookmarkEnd w:id="5"/>
    </w:p>
    <w:p w14:paraId="1F5CFE06">
      <w:pPr>
        <w:ind w:firstLine="560" w:firstLineChars="200"/>
        <w:rPr>
          <w:rFonts w:ascii="仿宋_GB2312" w:hAnsi="仿宋" w:eastAsia="仿宋_GB2312"/>
          <w:bCs w:val="0"/>
          <w:sz w:val="28"/>
          <w:szCs w:val="28"/>
        </w:rPr>
      </w:pPr>
      <w:r>
        <w:rPr>
          <w:rFonts w:hint="eastAsia" w:ascii="仿宋_GB2312" w:hAnsi="仿宋" w:eastAsia="仿宋_GB2312"/>
          <w:sz w:val="28"/>
          <w:szCs w:val="28"/>
        </w:rPr>
        <w:t>供应商需要</w:t>
      </w:r>
      <w:r>
        <w:rPr>
          <w:rFonts w:hint="eastAsia" w:ascii="仿宋_GB2312" w:eastAsia="仿宋_GB2312"/>
          <w:sz w:val="28"/>
          <w:szCs w:val="28"/>
        </w:rPr>
        <w:t>前期在全市发动宣传和招募，发放相关宣传品，照片留档</w:t>
      </w:r>
      <w:r>
        <w:rPr>
          <w:rFonts w:hint="eastAsia" w:ascii="仿宋_GB2312" w:hAnsi="仿宋" w:eastAsia="仿宋_GB2312"/>
          <w:sz w:val="28"/>
          <w:szCs w:val="28"/>
        </w:rPr>
        <w:t>.</w:t>
      </w:r>
    </w:p>
    <w:p w14:paraId="0E86E4EE">
      <w:pPr>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完成各项工作需求，</w:t>
      </w:r>
      <w:r>
        <w:rPr>
          <w:rFonts w:hint="eastAsia" w:ascii="仿宋_GB2312" w:eastAsia="仿宋_GB2312"/>
          <w:sz w:val="28"/>
          <w:szCs w:val="28"/>
        </w:rPr>
        <w:t>活动组织人数必须达到预计目标，</w:t>
      </w:r>
      <w:r>
        <w:rPr>
          <w:rFonts w:hint="eastAsia" w:ascii="仿宋_GB2312" w:hAnsi="仿宋" w:eastAsia="仿宋_GB2312"/>
          <w:sz w:val="28"/>
          <w:szCs w:val="28"/>
        </w:rPr>
        <w:t>在数量和质量上应满足预期规划要求和对应数量。</w:t>
      </w:r>
      <w:r>
        <w:rPr>
          <w:rFonts w:hint="eastAsia" w:ascii="仿宋_GB2312" w:eastAsia="仿宋_GB2312"/>
          <w:sz w:val="28"/>
          <w:szCs w:val="28"/>
        </w:rPr>
        <w:t>项目需满足采购单位提出的设计、更改的合理要求；顺利落实活动场地等各项筹备及执行工作。</w:t>
      </w:r>
    </w:p>
    <w:p w14:paraId="0BB9CDA2">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供应商按要求完成项目内容后，采购方对其提供的服务进行验收。验收前供应商需提供项目过程中形成的项目资料、知识成果，以验收材料形式汇总提交。</w:t>
      </w:r>
    </w:p>
    <w:p w14:paraId="31835809">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当文档材料提交后，采购方可最终组织验收，完成验收工作。</w:t>
      </w:r>
    </w:p>
    <w:p w14:paraId="0F5FEFC9">
      <w:pPr>
        <w:adjustRightInd w:val="0"/>
        <w:rPr>
          <w:rFonts w:hint="eastAsia" w:ascii="黑体" w:hAnsi="黑体" w:eastAsia="黑体" w:cs="黑体"/>
          <w:b/>
          <w:sz w:val="28"/>
          <w:szCs w:val="28"/>
        </w:rPr>
      </w:pPr>
      <w:bookmarkStart w:id="6" w:name="_Toc12518715"/>
      <w:r>
        <w:rPr>
          <w:rFonts w:hint="eastAsia" w:ascii="黑体" w:hAnsi="黑体" w:eastAsia="黑体" w:cs="黑体"/>
          <w:b/>
          <w:sz w:val="28"/>
          <w:szCs w:val="28"/>
        </w:rPr>
        <w:t>4.2项目验收交付</w:t>
      </w:r>
      <w:bookmarkEnd w:id="6"/>
    </w:p>
    <w:p w14:paraId="50C2964D">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供应商必须按时提供各个阶段产生的成果和文档资料，包括项目涉及的全部成果文档、管理文档等。</w:t>
      </w:r>
    </w:p>
    <w:p w14:paraId="43C44A3D">
      <w:pPr>
        <w:adjustRightInd w:val="0"/>
        <w:ind w:firstLine="560" w:firstLineChars="200"/>
        <w:rPr>
          <w:rFonts w:ascii="仿宋_GB2312" w:hAnsi="仿宋" w:eastAsia="仿宋_GB2312"/>
          <w:bCs w:val="0"/>
          <w:sz w:val="28"/>
          <w:szCs w:val="28"/>
        </w:rPr>
      </w:pPr>
      <w:r>
        <w:rPr>
          <w:rFonts w:ascii="仿宋_GB2312" w:hAnsi="仿宋" w:eastAsia="仿宋_GB2312"/>
          <w:sz w:val="28"/>
          <w:szCs w:val="28"/>
        </w:rPr>
        <w:t>交付物</w:t>
      </w:r>
      <w:r>
        <w:rPr>
          <w:rFonts w:hint="eastAsia" w:ascii="仿宋_GB2312" w:hAnsi="仿宋" w:eastAsia="仿宋_GB2312"/>
          <w:sz w:val="28"/>
          <w:szCs w:val="28"/>
        </w:rPr>
        <w:t>包括</w:t>
      </w:r>
      <w:r>
        <w:rPr>
          <w:rFonts w:ascii="仿宋_GB2312" w:hAnsi="仿宋" w:eastAsia="仿宋_GB2312"/>
          <w:sz w:val="28"/>
          <w:szCs w:val="28"/>
        </w:rPr>
        <w:t>：</w:t>
      </w:r>
    </w:p>
    <w:p w14:paraId="42E39387">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学习型乡村建设调研报告一份；</w:t>
      </w:r>
    </w:p>
    <w:p w14:paraId="0AD191AD">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学习型乡村建设成果汇编一本；</w:t>
      </w:r>
    </w:p>
    <w:p w14:paraId="2D9924F1">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3</w:t>
      </w:r>
      <w:r>
        <w:rPr>
          <w:rFonts w:hint="eastAsia" w:ascii="仿宋_GB2312" w:hAnsi="仿宋" w:eastAsia="仿宋_GB2312"/>
          <w:sz w:val="28"/>
          <w:szCs w:val="28"/>
        </w:rPr>
        <w:t>）</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w:t>
      </w:r>
      <w:r>
        <w:rPr>
          <w:rFonts w:hint="eastAsia" w:ascii="仿宋_GB2312" w:hAnsi="仿宋" w:eastAsia="仿宋_GB2312"/>
          <w:sz w:val="28"/>
          <w:szCs w:val="28"/>
          <w:lang w:val="en-US" w:eastAsia="zh-CN"/>
        </w:rPr>
        <w:t>培训</w:t>
      </w:r>
      <w:r>
        <w:rPr>
          <w:rFonts w:hint="eastAsia" w:ascii="仿宋_GB2312" w:hAnsi="仿宋" w:eastAsia="仿宋_GB2312"/>
          <w:sz w:val="28"/>
          <w:szCs w:val="28"/>
        </w:rPr>
        <w:t>会议</w:t>
      </w:r>
      <w:r>
        <w:rPr>
          <w:rFonts w:hint="eastAsia" w:ascii="仿宋_GB2312" w:hAnsi="仿宋" w:eastAsia="仿宋_GB2312"/>
          <w:sz w:val="28"/>
          <w:szCs w:val="28"/>
          <w:lang w:val="en-US" w:eastAsia="zh-CN"/>
        </w:rPr>
        <w:t>过程性及</w:t>
      </w:r>
      <w:r>
        <w:rPr>
          <w:rFonts w:hint="eastAsia" w:ascii="仿宋_GB2312" w:hAnsi="仿宋" w:eastAsia="仿宋_GB2312"/>
          <w:sz w:val="28"/>
          <w:szCs w:val="28"/>
        </w:rPr>
        <w:t>总结材料；</w:t>
      </w:r>
    </w:p>
    <w:p w14:paraId="56647CA0">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4</w:t>
      </w:r>
      <w:r>
        <w:rPr>
          <w:rFonts w:hint="eastAsia" w:ascii="仿宋_GB2312" w:hAnsi="仿宋" w:eastAsia="仿宋_GB2312"/>
          <w:sz w:val="28"/>
          <w:szCs w:val="28"/>
        </w:rPr>
        <w:t>）其他与本项目相关的交付物。</w:t>
      </w:r>
    </w:p>
    <w:p w14:paraId="2E1FC636">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5.售后服务及保障要求</w:t>
      </w:r>
    </w:p>
    <w:p w14:paraId="5CFA7EB7">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供应商必须承诺并保障：</w:t>
      </w:r>
    </w:p>
    <w:p w14:paraId="0485665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在项目验收前，根据采购方的合理意见，对已完成的项目工作进行免费的内容性修改与增减，以达到采购方所有需求；</w:t>
      </w:r>
    </w:p>
    <w:p w14:paraId="093E6524">
      <w:pPr>
        <w:adjustRightInd w:val="0"/>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从项目全面验收合格之日起半年内提供</w:t>
      </w:r>
      <w:r>
        <w:rPr>
          <w:rFonts w:ascii="仿宋_GB2312" w:hAnsi="仿宋" w:eastAsia="仿宋_GB2312"/>
          <w:sz w:val="28"/>
          <w:szCs w:val="28"/>
        </w:rPr>
        <w:t>质保服务</w:t>
      </w:r>
      <w:r>
        <w:rPr>
          <w:rFonts w:hint="eastAsia" w:ascii="仿宋_GB2312" w:hAnsi="仿宋" w:eastAsia="仿宋_GB2312"/>
          <w:sz w:val="28"/>
          <w:szCs w:val="28"/>
        </w:rPr>
        <w:t>。</w:t>
      </w:r>
    </w:p>
    <w:p w14:paraId="5BFA10F4">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6.响应商资质要求</w:t>
      </w:r>
    </w:p>
    <w:p w14:paraId="4BE0EFB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合格的响应商必须具备以下条件：</w:t>
      </w:r>
    </w:p>
    <w:p w14:paraId="44CD8E2C">
      <w:pPr>
        <w:numPr>
          <w:ilvl w:val="0"/>
          <w:numId w:val="3"/>
        </w:num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符合《中华人民共和国政府采购法》第二十二条规定；</w:t>
      </w:r>
    </w:p>
    <w:p w14:paraId="410724E5">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（2）未被列入“信用中国”网站(www.creditchina.gov.cn)失信被执行人名单、重大税收违法案件当事人名单和中国政府采购网(www.ccgp.gov.cn)政府采购严重违法失信行为记录名单的供应商；</w:t>
      </w:r>
    </w:p>
    <w:p w14:paraId="51FCE851">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（3）本项目仅接受中、小、微企业参加磋商，供应商如满足须提供“中小企业声明函”；</w:t>
      </w:r>
    </w:p>
    <w:p w14:paraId="6A99550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（4）不接受供应商以联合体方式参与投标；</w:t>
      </w:r>
    </w:p>
    <w:p w14:paraId="61200C2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（5）单位负责人为同一人或者存在直接控股、管理关系的不同供应商，不得同时参加本项目的投标。</w:t>
      </w:r>
    </w:p>
    <w:p w14:paraId="7A91D152">
      <w:pPr>
        <w:jc w:val="center"/>
        <w:rPr>
          <w:b/>
          <w:sz w:val="44"/>
          <w:szCs w:val="44"/>
        </w:rPr>
      </w:pPr>
    </w:p>
    <w:p w14:paraId="1C3B5655">
      <w:p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B31DD-BEE0-4AD4-BC6F-0A3ED80847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6B8878E-E943-4AF5-8B14-8C0F20687128}"/>
  </w:font>
  <w:font w:name="仿宋">
    <w:panose1 w:val="02010609060101010101"/>
    <w:charset w:val="86"/>
    <w:family w:val="modern"/>
    <w:pitch w:val="default"/>
    <w:sig w:usb0="800002BF" w:usb1="38CF7CFA" w:usb2="00000016" w:usb3="00000000" w:csb0="00040001" w:csb1="00000000"/>
    <w:embedRegular r:id="rId3" w:fontKey="{835CC9F1-B115-4103-8A08-92E7EE4BF18D}"/>
  </w:font>
  <w:font w:name="仿宋_GB2312">
    <w:panose1 w:val="02010609030101010101"/>
    <w:charset w:val="86"/>
    <w:family w:val="modern"/>
    <w:pitch w:val="default"/>
    <w:sig w:usb0="00000001" w:usb1="080E0000" w:usb2="00000000" w:usb3="00000000" w:csb0="00040000" w:csb1="00000000"/>
    <w:embedRegular r:id="rId4" w:fontKey="{EF7433CC-7F9A-4405-889C-D0C20962873D}"/>
  </w:font>
  <w:font w:name="华文楷体">
    <w:panose1 w:val="02010600040101010101"/>
    <w:charset w:val="86"/>
    <w:family w:val="auto"/>
    <w:pitch w:val="default"/>
    <w:sig w:usb0="00000287" w:usb1="080F0000" w:usb2="00000000" w:usb3="00000000" w:csb0="0004009F" w:csb1="DFD70000"/>
    <w:embedRegular r:id="rId5" w:fontKey="{A9723896-EEA2-49CB-A056-7582407170DE}"/>
  </w:font>
  <w:font w:name="方正仿宋_GB18030">
    <w:panose1 w:val="02000000000000000000"/>
    <w:charset w:val="86"/>
    <w:family w:val="auto"/>
    <w:pitch w:val="default"/>
    <w:sig w:usb0="00000001" w:usb1="08000000" w:usb2="00000000" w:usb3="00000000" w:csb0="00040000" w:csb1="00000000"/>
    <w:embedRegular r:id="rId6" w:fontKey="{EAC6B556-C71B-42FC-8A56-DB039BD473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4F6F"/>
    <w:multiLevelType w:val="singleLevel"/>
    <w:tmpl w:val="812D4F6F"/>
    <w:lvl w:ilvl="0" w:tentative="0">
      <w:start w:val="1"/>
      <w:numFmt w:val="decimal"/>
      <w:suff w:val="nothing"/>
      <w:lvlText w:val="（%1）"/>
      <w:lvlJc w:val="left"/>
    </w:lvl>
  </w:abstractNum>
  <w:abstractNum w:abstractNumId="1">
    <w:nsid w:val="2DD04B36"/>
    <w:multiLevelType w:val="multilevel"/>
    <w:tmpl w:val="2DD04B36"/>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F6F7E6F"/>
    <w:multiLevelType w:val="multilevel"/>
    <w:tmpl w:val="5F6F7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2072998"/>
    <w:rsid w:val="0A5D3B7D"/>
    <w:rsid w:val="0ACA6B0E"/>
    <w:rsid w:val="0FED59A3"/>
    <w:rsid w:val="10257A03"/>
    <w:rsid w:val="119E3D44"/>
    <w:rsid w:val="247E2293"/>
    <w:rsid w:val="28C41B2D"/>
    <w:rsid w:val="2C9D2B56"/>
    <w:rsid w:val="2DBB4593"/>
    <w:rsid w:val="2F151981"/>
    <w:rsid w:val="31C72948"/>
    <w:rsid w:val="34C54E85"/>
    <w:rsid w:val="35F341B7"/>
    <w:rsid w:val="36154A5C"/>
    <w:rsid w:val="3DD65FFE"/>
    <w:rsid w:val="49F64E79"/>
    <w:rsid w:val="4C3C7727"/>
    <w:rsid w:val="562E14F6"/>
    <w:rsid w:val="57075804"/>
    <w:rsid w:val="57C46BE7"/>
    <w:rsid w:val="5E674C1D"/>
    <w:rsid w:val="5F816B3B"/>
    <w:rsid w:val="65206DF6"/>
    <w:rsid w:val="66BD7716"/>
    <w:rsid w:val="67D570D8"/>
    <w:rsid w:val="69A47809"/>
    <w:rsid w:val="6EF8018D"/>
    <w:rsid w:val="6F9401C4"/>
    <w:rsid w:val="726F7B81"/>
    <w:rsid w:val="77D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120" w:after="120"/>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p0"/>
    <w:basedOn w:val="1"/>
    <w:qFormat/>
    <w:uiPriority w:val="0"/>
    <w:pPr>
      <w:widowControl/>
    </w:pPr>
    <w:rPr>
      <w:rFonts w:ascii="Calibri" w:hAnsi="Calibri" w:eastAsia="宋体" w:cs="宋体"/>
      <w:kern w:val="0"/>
      <w:szCs w:val="21"/>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2711</Words>
  <Characters>2816</Characters>
  <Lines>0</Lines>
  <Paragraphs>0</Paragraphs>
  <TotalTime>9</TotalTime>
  <ScaleCrop>false</ScaleCrop>
  <LinksUpToDate>false</LinksUpToDate>
  <CharactersWithSpaces>2819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2025-02-21T08:27:00Z</dcterms:created>
  <dc:creator>user</dc:creator>
  <cp:lastModifiedBy>ωêη</cp:lastModifiedBy>
  <cp:lastPrinted>2025-02-27T01:09:00Z</cp:lastPrinted>
  <dcterms:modified xsi:type="dcterms:W3CDTF">2025-03-10T01:26:59Z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eyJoZGlkIjoiMDQxMGY4N2IyZjlkYmYzODVmZjRlNTI2Yjk3ZTAxY2QiLCJ1c2VySWQiOiIyNTU1NDY3ODMifQ==</vt:lpwstr>
  </property>
  <property fmtid="{D5CDD505-2E9C-101B-9397-08002B2CF9AE}" pid="4" name="ICV">
    <vt:lpwstr>F2F4D69639EA4CF892ACD63F5819139E_13</vt:lpwstr>
  </property>
</Properties>
</file>