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911E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color w:val="000000"/>
          <w:sz w:val="30"/>
          <w:szCs w:val="30"/>
          <w:lang w:val="en-US" w:eastAsia="zh-CN"/>
        </w:rPr>
      </w:pPr>
      <w:bookmarkStart w:id="0" w:name="_GoBack"/>
      <w:bookmarkEnd w:id="0"/>
      <w:r>
        <w:rPr>
          <w:rFonts w:hint="eastAsia" w:ascii="宋体" w:hAnsi="宋体" w:eastAsia="宋体" w:cs="宋体"/>
          <w:b/>
          <w:bCs/>
          <w:color w:val="000000"/>
          <w:sz w:val="30"/>
          <w:szCs w:val="30"/>
          <w:lang w:val="en-US" w:eastAsia="zh-CN"/>
        </w:rPr>
        <w:t xml:space="preserve">  </w:t>
      </w:r>
      <w:r>
        <w:rPr>
          <w:rFonts w:hint="eastAsia" w:ascii="黑体" w:hAnsi="黑体" w:eastAsia="黑体" w:cs="黑体"/>
          <w:b/>
          <w:bCs/>
          <w:color w:val="000000"/>
          <w:sz w:val="44"/>
          <w:szCs w:val="44"/>
          <w:lang w:val="en-US" w:eastAsia="zh-CN"/>
        </w:rPr>
        <w:t>数字信息采集项目需求书</w:t>
      </w:r>
    </w:p>
    <w:p w14:paraId="57808B41">
      <w:pPr>
        <w:pStyle w:val="2"/>
        <w:pageBreakBefore w:val="0"/>
        <w:widowControl w:val="0"/>
        <w:numPr>
          <w:ilvl w:val="0"/>
          <w:numId w:val="0"/>
        </w:numPr>
        <w:kinsoku/>
        <w:wordWrap/>
        <w:overflowPunct/>
        <w:topLinePunct w:val="0"/>
        <w:autoSpaceDE/>
        <w:autoSpaceDN/>
        <w:bidi w:val="0"/>
        <w:adjustRightInd/>
        <w:snapToGrid w:val="0"/>
        <w:spacing w:before="0" w:after="0"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rPr>
        <w:t>项目</w:t>
      </w:r>
      <w:r>
        <w:rPr>
          <w:rFonts w:hint="eastAsia" w:ascii="黑体" w:hAnsi="黑体" w:eastAsia="黑体" w:cs="黑体"/>
          <w:sz w:val="32"/>
          <w:szCs w:val="32"/>
          <w:lang w:val="en-US" w:eastAsia="zh-CN"/>
        </w:rPr>
        <w:t>概述</w:t>
      </w:r>
    </w:p>
    <w:p w14:paraId="57A6F4D6">
      <w:pPr>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1.1项目概要</w:t>
      </w:r>
    </w:p>
    <w:p w14:paraId="710A51A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lang w:val="en-US" w:eastAsia="zh-CN"/>
        </w:rPr>
      </w:pPr>
      <w:r>
        <w:rPr>
          <w:rFonts w:hint="eastAsia" w:ascii="仿宋_GB2312" w:hAnsi="仿宋" w:eastAsia="仿宋_GB2312"/>
          <w:bCs/>
          <w:sz w:val="28"/>
          <w:szCs w:val="28"/>
          <w:lang w:val="en-US" w:eastAsia="zh-CN"/>
        </w:rPr>
        <w:t>采购单位：上海开放大学</w:t>
      </w:r>
    </w:p>
    <w:p w14:paraId="2A53CC31">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lang w:val="en-US" w:eastAsia="zh-CN"/>
        </w:rPr>
      </w:pPr>
      <w:r>
        <w:rPr>
          <w:rFonts w:hint="eastAsia" w:ascii="仿宋_GB2312" w:hAnsi="仿宋" w:eastAsia="仿宋_GB2312"/>
          <w:bCs/>
          <w:sz w:val="28"/>
          <w:szCs w:val="28"/>
          <w:lang w:val="en-US" w:eastAsia="zh-CN"/>
        </w:rPr>
        <w:t>项目名称：数字信息采集</w:t>
      </w:r>
    </w:p>
    <w:p w14:paraId="5FBC8B3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lang w:val="en-US" w:eastAsia="zh-CN"/>
        </w:rPr>
      </w:pPr>
      <w:r>
        <w:rPr>
          <w:rFonts w:hint="eastAsia" w:ascii="仿宋_GB2312" w:hAnsi="仿宋" w:eastAsia="仿宋_GB2312"/>
          <w:bCs/>
          <w:sz w:val="28"/>
          <w:szCs w:val="28"/>
          <w:lang w:val="en-US" w:eastAsia="zh-CN"/>
        </w:rPr>
        <w:t>项目预算：5万元（人民币）</w:t>
      </w:r>
    </w:p>
    <w:p w14:paraId="65BEE757">
      <w:pPr>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1.2项目背景</w:t>
      </w:r>
    </w:p>
    <w:p w14:paraId="04271A4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为进一步贯彻落实党的二十大精神和习近平总书记关于老龄工作的重要指示，深入贯彻落实国务院办公厅印发的《关于切实解决老年人运用智能技术困难的实施方案》（国办发〔2022〕45号）、市教委印发的《关于推进本市老年教育数字化发展的意见》（沪教委终〔2021〕8号）等文件精神，上海开放大学创设“银发e学堂”，助力老年人数字素养提升。</w:t>
      </w:r>
    </w:p>
    <w:p w14:paraId="1F2B7DC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本项目通过镜头语言，全方位、细致地展示银发e学堂一年中所取得的丰硕成果，进一步吸引更多社会力量关注老年群体的数字教育需求，共同为老年群体融入数字社会贡献力量 。</w:t>
      </w:r>
    </w:p>
    <w:p w14:paraId="1F756463">
      <w:pPr>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1.3项目内容</w:t>
      </w:r>
    </w:p>
    <w:p w14:paraId="05B43725">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highlight w:val="none"/>
          <w:lang w:val="en-US" w:eastAsia="zh-CN"/>
        </w:rPr>
      </w:pPr>
      <w:r>
        <w:rPr>
          <w:rFonts w:hint="eastAsia" w:ascii="仿宋_GB2312" w:hAnsi="仿宋" w:eastAsia="仿宋_GB2312"/>
          <w:bCs/>
          <w:sz w:val="28"/>
          <w:szCs w:val="28"/>
          <w:lang w:val="en-US" w:eastAsia="zh-CN"/>
        </w:rPr>
        <w:t>本项目主要负责制作“银发e学堂”影像资料。</w:t>
      </w:r>
    </w:p>
    <w:p w14:paraId="6C0A5AD9">
      <w:pPr>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1.4项目时间</w:t>
      </w:r>
    </w:p>
    <w:p w14:paraId="6F7FD1C3">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合同签订之日起至2025年12月31日，并在2025年12月31日前根据采购方的要求完成项目验收工作。</w:t>
      </w:r>
    </w:p>
    <w:p w14:paraId="65103D4E">
      <w:pPr>
        <w:pStyle w:val="2"/>
        <w:pageBreakBefore w:val="0"/>
        <w:widowControl w:val="0"/>
        <w:numPr>
          <w:ilvl w:val="0"/>
          <w:numId w:val="0"/>
        </w:numPr>
        <w:kinsoku/>
        <w:wordWrap/>
        <w:overflowPunct/>
        <w:topLinePunct w:val="0"/>
        <w:autoSpaceDE/>
        <w:autoSpaceDN/>
        <w:bidi w:val="0"/>
        <w:adjustRightInd/>
        <w:snapToGrid w:val="0"/>
        <w:spacing w:before="0" w:after="0" w:line="360" w:lineRule="auto"/>
        <w:ind w:leftChars="0"/>
        <w:textAlignment w:val="auto"/>
        <w:rPr>
          <w:rFonts w:hint="default" w:ascii="仿宋_GB2312" w:hAnsi="仿宋" w:eastAsia="仿宋_GB2312"/>
          <w:bCs/>
          <w:sz w:val="28"/>
          <w:szCs w:val="28"/>
          <w:lang w:val="en-US" w:eastAsia="zh-CN"/>
        </w:rPr>
      </w:pPr>
      <w:r>
        <w:rPr>
          <w:rFonts w:hint="eastAsia" w:ascii="黑体" w:hAnsi="黑体" w:eastAsia="黑体" w:cs="黑体"/>
          <w:sz w:val="32"/>
          <w:szCs w:val="32"/>
          <w:lang w:val="en-US" w:eastAsia="zh-CN"/>
        </w:rPr>
        <w:t>2.项目内容需求</w:t>
      </w:r>
    </w:p>
    <w:p w14:paraId="7945A601">
      <w:pPr>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 xml:space="preserve">    根据采购方要求，在“银发e学堂”项目开展期间，使用高清摄像设备、专业录音器材等，对智慧学习场景、老年学员学习成长历程及特色课程与活动进行数字信息采集。采集内容要全面、准确，为后续工作提供详实资料。</w:t>
      </w:r>
    </w:p>
    <w:p w14:paraId="14B71274">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基于采集信息，制作“银发e学堂”影像资料。影像资料需严格遵循制作要求，通过专业手法，充分展现“银发e学堂”对提升老年群体数字素养的重要意义与积极影响，以吸引更多老年群体参与。</w:t>
      </w:r>
    </w:p>
    <w:p w14:paraId="5332FE09">
      <w:pPr>
        <w:pStyle w:val="2"/>
        <w:pageBreakBefore w:val="0"/>
        <w:widowControl w:val="0"/>
        <w:numPr>
          <w:ilvl w:val="0"/>
          <w:numId w:val="0"/>
        </w:numPr>
        <w:kinsoku/>
        <w:wordWrap/>
        <w:overflowPunct/>
        <w:topLinePunct w:val="0"/>
        <w:autoSpaceDE/>
        <w:autoSpaceDN/>
        <w:bidi w:val="0"/>
        <w:adjustRightInd/>
        <w:snapToGrid w:val="0"/>
        <w:spacing w:before="0" w:after="0" w:line="360" w:lineRule="auto"/>
        <w:ind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3.影像资料制作要求</w:t>
      </w:r>
    </w:p>
    <w:p w14:paraId="48C57D74">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 w:eastAsia="仿宋_GB2312"/>
          <w:bCs/>
          <w:sz w:val="28"/>
          <w:szCs w:val="28"/>
          <w:highlight w:val="none"/>
          <w:lang w:val="en-US" w:eastAsia="zh-CN"/>
        </w:rPr>
      </w:pPr>
      <w:r>
        <w:rPr>
          <w:rFonts w:hint="eastAsia" w:ascii="仿宋_GB2312" w:hAnsi="仿宋" w:eastAsia="仿宋_GB2312"/>
          <w:bCs/>
          <w:sz w:val="28"/>
          <w:szCs w:val="28"/>
          <w:lang w:val="en-US" w:eastAsia="zh-CN"/>
        </w:rPr>
        <w:t>供应商</w:t>
      </w:r>
      <w:r>
        <w:rPr>
          <w:rFonts w:hint="eastAsia" w:ascii="仿宋_GB2312" w:hAnsi="仿宋" w:eastAsia="仿宋_GB2312"/>
          <w:bCs/>
          <w:sz w:val="28"/>
          <w:szCs w:val="28"/>
          <w:highlight w:val="none"/>
          <w:lang w:val="en-US" w:eastAsia="zh-CN"/>
        </w:rPr>
        <w:t>需按照各专业的采购要求，完成视频的方案策划、文稿、拍摄、剪辑、配音、音乐、字幕、编辑、三维包装等，并满足以下技术要求：</w:t>
      </w:r>
    </w:p>
    <w:p w14:paraId="4BD4A4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3.1硬件技术要求</w:t>
      </w:r>
    </w:p>
    <w:tbl>
      <w:tblPr>
        <w:tblStyle w:val="6"/>
        <w:tblW w:w="7422" w:type="dxa"/>
        <w:tblInd w:w="855" w:type="dxa"/>
        <w:tblLayout w:type="fixed"/>
        <w:tblCellMar>
          <w:top w:w="0" w:type="dxa"/>
          <w:left w:w="146" w:type="dxa"/>
          <w:bottom w:w="0" w:type="dxa"/>
          <w:right w:w="43" w:type="dxa"/>
        </w:tblCellMar>
      </w:tblPr>
      <w:tblGrid>
        <w:gridCol w:w="567"/>
        <w:gridCol w:w="2120"/>
        <w:gridCol w:w="825"/>
        <w:gridCol w:w="3910"/>
      </w:tblGrid>
      <w:tr w14:paraId="523F2EBF">
        <w:tblPrEx>
          <w:tblCellMar>
            <w:top w:w="0" w:type="dxa"/>
            <w:left w:w="146" w:type="dxa"/>
            <w:bottom w:w="0" w:type="dxa"/>
            <w:right w:w="43" w:type="dxa"/>
          </w:tblCellMar>
        </w:tblPrEx>
        <w:trPr>
          <w:trHeight w:val="634"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648581A3">
            <w:pPr>
              <w:spacing w:line="400" w:lineRule="exact"/>
              <w:jc w:val="center"/>
              <w:rPr>
                <w:rFonts w:hint="eastAsia" w:ascii="仿宋_GB2312" w:hAnsi="仿宋" w:eastAsia="仿宋_GB2312" w:cs="仿宋"/>
                <w:sz w:val="28"/>
                <w:szCs w:val="28"/>
              </w:rPr>
            </w:pPr>
            <w:r>
              <w:rPr>
                <w:rFonts w:hint="eastAsia" w:ascii="仿宋_GB2312" w:hAnsi="Arial" w:eastAsia="仿宋_GB2312" w:cs="Arial"/>
                <w:bCs/>
                <w:sz w:val="28"/>
                <w:szCs w:val="28"/>
              </w:rPr>
              <w:t xml:space="preserve">       </w:t>
            </w:r>
            <w:r>
              <w:rPr>
                <w:rFonts w:hint="eastAsia" w:ascii="仿宋_GB2312" w:hAnsi="仿宋" w:eastAsia="仿宋_GB2312" w:cs="仿宋"/>
                <w:sz w:val="28"/>
                <w:szCs w:val="28"/>
              </w:rPr>
              <w:t xml:space="preserve">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45AF0532">
            <w:pPr>
              <w:spacing w:line="400" w:lineRule="exact"/>
              <w:ind w:right="104"/>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设备名称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166BAB6A">
            <w:pPr>
              <w:spacing w:line="400" w:lineRule="exact"/>
              <w:ind w:left="1"/>
              <w:rPr>
                <w:rFonts w:hint="eastAsia" w:ascii="仿宋_GB2312" w:hAnsi="仿宋" w:eastAsia="仿宋_GB2312" w:cs="仿宋"/>
                <w:sz w:val="28"/>
                <w:szCs w:val="28"/>
              </w:rPr>
            </w:pPr>
            <w:r>
              <w:rPr>
                <w:rFonts w:hint="eastAsia" w:ascii="仿宋_GB2312" w:hAnsi="仿宋" w:eastAsia="仿宋_GB2312" w:cs="仿宋"/>
                <w:sz w:val="28"/>
                <w:szCs w:val="28"/>
              </w:rPr>
              <w:t xml:space="preserve">数量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06254AFF">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具体要求</w:t>
            </w:r>
            <w:r>
              <w:rPr>
                <w:rFonts w:hint="eastAsia" w:ascii="仿宋_GB2312" w:hAnsi="仿宋" w:eastAsia="仿宋_GB2312" w:cs="仿宋"/>
                <w:sz w:val="28"/>
                <w:szCs w:val="28"/>
              </w:rPr>
              <w:t xml:space="preserve"> </w:t>
            </w:r>
          </w:p>
        </w:tc>
      </w:tr>
      <w:tr w14:paraId="3B0A3FA2">
        <w:tblPrEx>
          <w:tblCellMar>
            <w:top w:w="0" w:type="dxa"/>
            <w:left w:w="146" w:type="dxa"/>
            <w:bottom w:w="0" w:type="dxa"/>
            <w:right w:w="43" w:type="dxa"/>
          </w:tblCellMar>
        </w:tblPrEx>
        <w:trPr>
          <w:trHeight w:val="591" w:hRule="atLeast"/>
        </w:trPr>
        <w:tc>
          <w:tcPr>
            <w:tcW w:w="567"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C23C8A9">
            <w:pPr>
              <w:spacing w:line="400" w:lineRule="exact"/>
              <w:ind w:left="12"/>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212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60DED549">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摄像机 </w:t>
            </w:r>
          </w:p>
        </w:tc>
        <w:tc>
          <w:tcPr>
            <w:tcW w:w="825"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585A0597">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2 </w:t>
            </w:r>
          </w:p>
        </w:tc>
        <w:tc>
          <w:tcPr>
            <w:tcW w:w="391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7EF4107D">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4K+高速 </w:t>
            </w:r>
          </w:p>
        </w:tc>
      </w:tr>
      <w:tr w14:paraId="5F37BE11">
        <w:tblPrEx>
          <w:tblCellMar>
            <w:top w:w="0" w:type="dxa"/>
            <w:left w:w="146" w:type="dxa"/>
            <w:bottom w:w="0" w:type="dxa"/>
            <w:right w:w="43" w:type="dxa"/>
          </w:tblCellMar>
        </w:tblPrEx>
        <w:trPr>
          <w:trHeight w:val="704"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2D80D9D9">
            <w:pPr>
              <w:spacing w:line="400" w:lineRule="exact"/>
              <w:ind w:left="12"/>
              <w:rPr>
                <w:rFonts w:hint="eastAsia" w:ascii="仿宋_GB2312" w:hAnsi="仿宋" w:eastAsia="仿宋_GB2312" w:cs="仿宋"/>
                <w:sz w:val="28"/>
                <w:szCs w:val="28"/>
              </w:rPr>
            </w:pPr>
            <w:r>
              <w:rPr>
                <w:rFonts w:hint="eastAsia" w:ascii="仿宋_GB2312" w:hAnsi="仿宋" w:eastAsia="仿宋_GB2312" w:cs="仿宋"/>
                <w:sz w:val="28"/>
                <w:szCs w:val="28"/>
              </w:rPr>
              <w:t xml:space="preserve">2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276C8395">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无线采访话筒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4564FE2D">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3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589F9179">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无</w:t>
            </w:r>
            <w:r>
              <w:rPr>
                <w:rFonts w:hint="eastAsia" w:ascii="仿宋_GB2312" w:hAnsi="仿宋" w:eastAsia="仿宋_GB2312" w:cs="仿宋"/>
                <w:sz w:val="28"/>
                <w:szCs w:val="28"/>
              </w:rPr>
              <w:t xml:space="preserve"> </w:t>
            </w:r>
          </w:p>
        </w:tc>
      </w:tr>
      <w:tr w14:paraId="2BA2E672">
        <w:tblPrEx>
          <w:tblCellMar>
            <w:top w:w="0" w:type="dxa"/>
            <w:left w:w="146" w:type="dxa"/>
            <w:bottom w:w="0" w:type="dxa"/>
            <w:right w:w="43" w:type="dxa"/>
          </w:tblCellMar>
        </w:tblPrEx>
        <w:trPr>
          <w:trHeight w:val="563" w:hRule="atLeast"/>
        </w:trPr>
        <w:tc>
          <w:tcPr>
            <w:tcW w:w="567"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32577CF9">
            <w:pPr>
              <w:spacing w:line="400" w:lineRule="exact"/>
              <w:ind w:left="12"/>
              <w:rPr>
                <w:rFonts w:hint="eastAsia" w:ascii="仿宋_GB2312" w:hAnsi="仿宋" w:eastAsia="仿宋_GB2312" w:cs="仿宋"/>
                <w:sz w:val="28"/>
                <w:szCs w:val="28"/>
              </w:rPr>
            </w:pPr>
            <w:r>
              <w:rPr>
                <w:rFonts w:hint="eastAsia" w:ascii="仿宋_GB2312" w:hAnsi="仿宋" w:eastAsia="仿宋_GB2312" w:cs="仿宋"/>
                <w:sz w:val="28"/>
                <w:szCs w:val="28"/>
              </w:rPr>
              <w:t xml:space="preserve">3 </w:t>
            </w:r>
          </w:p>
        </w:tc>
        <w:tc>
          <w:tcPr>
            <w:tcW w:w="212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44D506C6">
            <w:pPr>
              <w:spacing w:line="400" w:lineRule="exact"/>
              <w:ind w:right="104"/>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承托设备 </w:t>
            </w:r>
          </w:p>
        </w:tc>
        <w:tc>
          <w:tcPr>
            <w:tcW w:w="825"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2810D1A0">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2 </w:t>
            </w:r>
          </w:p>
        </w:tc>
        <w:tc>
          <w:tcPr>
            <w:tcW w:w="391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1EA8422">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无</w:t>
            </w:r>
          </w:p>
        </w:tc>
      </w:tr>
      <w:tr w14:paraId="3126F94C">
        <w:tblPrEx>
          <w:tblCellMar>
            <w:top w:w="0" w:type="dxa"/>
            <w:left w:w="146" w:type="dxa"/>
            <w:bottom w:w="0" w:type="dxa"/>
            <w:right w:w="43" w:type="dxa"/>
          </w:tblCellMar>
        </w:tblPrEx>
        <w:trPr>
          <w:trHeight w:val="674"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14BBC219">
            <w:pPr>
              <w:spacing w:line="400" w:lineRule="exact"/>
              <w:ind w:left="12"/>
              <w:rPr>
                <w:rFonts w:hint="eastAsia" w:ascii="仿宋_GB2312" w:hAnsi="仿宋" w:eastAsia="仿宋_GB2312" w:cs="仿宋"/>
                <w:sz w:val="28"/>
                <w:szCs w:val="28"/>
              </w:rPr>
            </w:pPr>
            <w:r>
              <w:rPr>
                <w:rFonts w:hint="eastAsia" w:ascii="仿宋_GB2312" w:hAnsi="仿宋" w:eastAsia="仿宋_GB2312" w:cs="仿宋"/>
                <w:sz w:val="28"/>
                <w:szCs w:val="28"/>
              </w:rPr>
              <w:t xml:space="preserve">4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2C15829B">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滑轨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6167A5B2">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3B95AC1E">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1.2M </w:t>
            </w:r>
          </w:p>
        </w:tc>
      </w:tr>
      <w:tr w14:paraId="0DC02E5A">
        <w:tblPrEx>
          <w:tblCellMar>
            <w:top w:w="0" w:type="dxa"/>
            <w:left w:w="146" w:type="dxa"/>
            <w:bottom w:w="0" w:type="dxa"/>
            <w:right w:w="43" w:type="dxa"/>
          </w:tblCellMar>
        </w:tblPrEx>
        <w:trPr>
          <w:trHeight w:val="603" w:hRule="atLeast"/>
        </w:trPr>
        <w:tc>
          <w:tcPr>
            <w:tcW w:w="567"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501B93AF">
            <w:pPr>
              <w:spacing w:line="400" w:lineRule="exact"/>
              <w:ind w:left="12"/>
              <w:rPr>
                <w:rFonts w:hint="eastAsia" w:ascii="仿宋_GB2312" w:hAnsi="仿宋" w:eastAsia="仿宋_GB2312" w:cs="仿宋"/>
                <w:sz w:val="28"/>
                <w:szCs w:val="28"/>
              </w:rPr>
            </w:pPr>
            <w:r>
              <w:rPr>
                <w:rFonts w:hint="eastAsia" w:ascii="仿宋_GB2312" w:hAnsi="仿宋" w:eastAsia="仿宋_GB2312" w:cs="仿宋"/>
                <w:sz w:val="28"/>
                <w:szCs w:val="28"/>
              </w:rPr>
              <w:t xml:space="preserve">5 </w:t>
            </w:r>
          </w:p>
        </w:tc>
        <w:tc>
          <w:tcPr>
            <w:tcW w:w="212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7486B3B">
            <w:pPr>
              <w:spacing w:line="400" w:lineRule="exact"/>
              <w:ind w:right="104"/>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LED灯光 </w:t>
            </w:r>
          </w:p>
        </w:tc>
        <w:tc>
          <w:tcPr>
            <w:tcW w:w="825"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84C15C0">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28E595AC">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 三灯基本套装及以上</w:t>
            </w:r>
          </w:p>
        </w:tc>
      </w:tr>
      <w:tr w14:paraId="0133F56D">
        <w:tblPrEx>
          <w:tblCellMar>
            <w:top w:w="0" w:type="dxa"/>
            <w:left w:w="146" w:type="dxa"/>
            <w:bottom w:w="0" w:type="dxa"/>
            <w:right w:w="43" w:type="dxa"/>
          </w:tblCellMar>
        </w:tblPrEx>
        <w:trPr>
          <w:trHeight w:val="634"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2EF2FBFE">
            <w:pPr>
              <w:spacing w:line="400" w:lineRule="exact"/>
              <w:ind w:left="53"/>
              <w:rPr>
                <w:rFonts w:hint="eastAsia" w:ascii="仿宋_GB2312" w:hAnsi="仿宋" w:eastAsia="仿宋_GB2312" w:cs="仿宋"/>
                <w:sz w:val="28"/>
                <w:szCs w:val="28"/>
              </w:rPr>
            </w:pPr>
            <w:r>
              <w:rPr>
                <w:rFonts w:hint="eastAsia" w:ascii="仿宋_GB2312" w:hAnsi="仿宋" w:eastAsia="仿宋_GB2312" w:cs="仿宋"/>
                <w:sz w:val="28"/>
                <w:szCs w:val="28"/>
              </w:rPr>
              <w:t xml:space="preserve">6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47856364">
            <w:pPr>
              <w:spacing w:line="400" w:lineRule="exact"/>
              <w:ind w:right="104"/>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手持稳定器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095434A5">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5CA84E19">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无</w:t>
            </w:r>
          </w:p>
        </w:tc>
      </w:tr>
      <w:tr w14:paraId="41059382">
        <w:tblPrEx>
          <w:tblCellMar>
            <w:top w:w="0" w:type="dxa"/>
            <w:left w:w="146" w:type="dxa"/>
            <w:bottom w:w="0" w:type="dxa"/>
            <w:right w:w="43" w:type="dxa"/>
          </w:tblCellMar>
        </w:tblPrEx>
        <w:trPr>
          <w:trHeight w:val="661"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1F97258F">
            <w:pPr>
              <w:spacing w:line="400" w:lineRule="exact"/>
              <w:ind w:left="53"/>
              <w:rPr>
                <w:rFonts w:hint="eastAsia" w:ascii="仿宋_GB2312" w:hAnsi="仿宋" w:eastAsia="仿宋_GB2312" w:cs="仿宋"/>
                <w:sz w:val="28"/>
                <w:szCs w:val="28"/>
              </w:rPr>
            </w:pPr>
            <w:r>
              <w:rPr>
                <w:rFonts w:hint="eastAsia" w:ascii="仿宋_GB2312" w:hAnsi="仿宋" w:eastAsia="仿宋_GB2312" w:cs="仿宋"/>
                <w:sz w:val="28"/>
                <w:szCs w:val="28"/>
              </w:rPr>
              <w:t xml:space="preserve">7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455A3CF6">
            <w:pPr>
              <w:spacing w:line="400" w:lineRule="exact"/>
              <w:ind w:right="104"/>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后期非编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19E79DDC">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79A3836A">
            <w:pPr>
              <w:spacing w:line="400" w:lineRule="exact"/>
              <w:ind w:right="105"/>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4K及以上规格 </w:t>
            </w:r>
          </w:p>
        </w:tc>
      </w:tr>
      <w:tr w14:paraId="610F030E">
        <w:tblPrEx>
          <w:tblCellMar>
            <w:top w:w="0" w:type="dxa"/>
            <w:left w:w="146" w:type="dxa"/>
            <w:bottom w:w="0" w:type="dxa"/>
            <w:right w:w="43" w:type="dxa"/>
          </w:tblCellMar>
        </w:tblPrEx>
        <w:trPr>
          <w:trHeight w:val="563" w:hRule="atLeast"/>
        </w:trPr>
        <w:tc>
          <w:tcPr>
            <w:tcW w:w="567"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588E61E5">
            <w:pPr>
              <w:spacing w:line="400" w:lineRule="exact"/>
              <w:ind w:left="53"/>
              <w:rPr>
                <w:rFonts w:hint="eastAsia" w:ascii="仿宋_GB2312" w:hAnsi="仿宋" w:eastAsia="仿宋_GB2312" w:cs="仿宋"/>
                <w:sz w:val="28"/>
                <w:szCs w:val="28"/>
              </w:rPr>
            </w:pPr>
            <w:r>
              <w:rPr>
                <w:rFonts w:hint="eastAsia" w:ascii="仿宋_GB2312" w:hAnsi="仿宋" w:eastAsia="仿宋_GB2312" w:cs="仿宋"/>
                <w:sz w:val="28"/>
                <w:szCs w:val="28"/>
              </w:rPr>
              <w:t xml:space="preserve">8 </w:t>
            </w:r>
          </w:p>
        </w:tc>
        <w:tc>
          <w:tcPr>
            <w:tcW w:w="212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67AA31C7">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校色 </w:t>
            </w:r>
          </w:p>
        </w:tc>
        <w:tc>
          <w:tcPr>
            <w:tcW w:w="825"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7217DD4D">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F84F249">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无</w:t>
            </w:r>
            <w:r>
              <w:rPr>
                <w:rFonts w:hint="eastAsia" w:ascii="仿宋_GB2312" w:hAnsi="仿宋" w:eastAsia="仿宋_GB2312" w:cs="仿宋"/>
                <w:sz w:val="28"/>
                <w:szCs w:val="28"/>
              </w:rPr>
              <w:t xml:space="preserve"> </w:t>
            </w:r>
          </w:p>
        </w:tc>
      </w:tr>
      <w:tr w14:paraId="0ADFEBDD">
        <w:tblPrEx>
          <w:tblCellMar>
            <w:top w:w="0" w:type="dxa"/>
            <w:left w:w="146" w:type="dxa"/>
            <w:bottom w:w="0" w:type="dxa"/>
            <w:right w:w="43" w:type="dxa"/>
          </w:tblCellMar>
        </w:tblPrEx>
        <w:trPr>
          <w:trHeight w:val="674" w:hRule="atLeast"/>
        </w:trPr>
        <w:tc>
          <w:tcPr>
            <w:tcW w:w="567" w:type="dxa"/>
            <w:tcBorders>
              <w:top w:val="single" w:color="000000" w:sz="2" w:space="0"/>
              <w:left w:val="single" w:color="000000" w:sz="2" w:space="0"/>
              <w:bottom w:val="single" w:color="000000" w:sz="2" w:space="0"/>
              <w:right w:val="single" w:color="000000" w:sz="2" w:space="0"/>
            </w:tcBorders>
            <w:noWrap w:val="0"/>
            <w:vAlign w:val="center"/>
          </w:tcPr>
          <w:p w14:paraId="3F9D4245">
            <w:pPr>
              <w:spacing w:line="400" w:lineRule="exact"/>
              <w:ind w:left="53"/>
              <w:rPr>
                <w:rFonts w:hint="eastAsia" w:ascii="仿宋_GB2312" w:hAnsi="仿宋" w:eastAsia="仿宋_GB2312" w:cs="仿宋"/>
                <w:sz w:val="28"/>
                <w:szCs w:val="28"/>
              </w:rPr>
            </w:pPr>
            <w:r>
              <w:rPr>
                <w:rFonts w:hint="eastAsia" w:ascii="仿宋_GB2312" w:hAnsi="仿宋" w:eastAsia="仿宋_GB2312" w:cs="仿宋"/>
                <w:sz w:val="28"/>
                <w:szCs w:val="28"/>
              </w:rPr>
              <w:t xml:space="preserve">9 </w:t>
            </w:r>
          </w:p>
        </w:tc>
        <w:tc>
          <w:tcPr>
            <w:tcW w:w="2120" w:type="dxa"/>
            <w:tcBorders>
              <w:top w:val="single" w:color="000000" w:sz="2" w:space="0"/>
              <w:left w:val="single" w:color="000000" w:sz="2" w:space="0"/>
              <w:bottom w:val="single" w:color="000000" w:sz="2" w:space="0"/>
              <w:right w:val="single" w:color="000000" w:sz="2" w:space="0"/>
            </w:tcBorders>
            <w:noWrap w:val="0"/>
            <w:vAlign w:val="center"/>
          </w:tcPr>
          <w:p w14:paraId="0E6278F0">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音编 </w:t>
            </w:r>
          </w:p>
        </w:tc>
        <w:tc>
          <w:tcPr>
            <w:tcW w:w="825" w:type="dxa"/>
            <w:tcBorders>
              <w:top w:val="single" w:color="000000" w:sz="2" w:space="0"/>
              <w:left w:val="single" w:color="000000" w:sz="2" w:space="0"/>
              <w:bottom w:val="single" w:color="000000" w:sz="2" w:space="0"/>
              <w:right w:val="single" w:color="000000" w:sz="2" w:space="0"/>
            </w:tcBorders>
            <w:noWrap w:val="0"/>
            <w:vAlign w:val="center"/>
          </w:tcPr>
          <w:p w14:paraId="5203C3DC">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noWrap w:val="0"/>
            <w:vAlign w:val="center"/>
          </w:tcPr>
          <w:p w14:paraId="2A53AFEF">
            <w:pPr>
              <w:spacing w:line="40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无</w:t>
            </w:r>
            <w:r>
              <w:rPr>
                <w:rFonts w:hint="eastAsia" w:ascii="仿宋_GB2312" w:hAnsi="仿宋" w:eastAsia="仿宋_GB2312" w:cs="仿宋"/>
                <w:sz w:val="28"/>
                <w:szCs w:val="28"/>
              </w:rPr>
              <w:t xml:space="preserve"> </w:t>
            </w:r>
          </w:p>
        </w:tc>
      </w:tr>
      <w:tr w14:paraId="4DBE2700">
        <w:tblPrEx>
          <w:tblCellMar>
            <w:top w:w="0" w:type="dxa"/>
            <w:left w:w="146" w:type="dxa"/>
            <w:bottom w:w="0" w:type="dxa"/>
            <w:right w:w="43" w:type="dxa"/>
          </w:tblCellMar>
        </w:tblPrEx>
        <w:trPr>
          <w:trHeight w:val="603" w:hRule="atLeast"/>
        </w:trPr>
        <w:tc>
          <w:tcPr>
            <w:tcW w:w="567"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1AE91F92">
            <w:pPr>
              <w:spacing w:line="400" w:lineRule="exact"/>
              <w:rPr>
                <w:rFonts w:hint="eastAsia" w:ascii="仿宋_GB2312" w:hAnsi="仿宋" w:eastAsia="仿宋_GB2312" w:cs="仿宋"/>
                <w:sz w:val="28"/>
                <w:szCs w:val="28"/>
              </w:rPr>
            </w:pPr>
            <w:r>
              <w:rPr>
                <w:rFonts w:hint="eastAsia" w:ascii="仿宋_GB2312" w:hAnsi="仿宋" w:eastAsia="仿宋_GB2312" w:cs="仿宋"/>
                <w:sz w:val="28"/>
                <w:szCs w:val="28"/>
              </w:rPr>
              <w:t xml:space="preserve">10 </w:t>
            </w:r>
          </w:p>
        </w:tc>
        <w:tc>
          <w:tcPr>
            <w:tcW w:w="212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6DCC8D40">
            <w:pPr>
              <w:spacing w:line="400" w:lineRule="exact"/>
              <w:ind w:right="106"/>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流媒体转换器 </w:t>
            </w:r>
          </w:p>
        </w:tc>
        <w:tc>
          <w:tcPr>
            <w:tcW w:w="825"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4911A335">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 xml:space="preserve">1 </w:t>
            </w:r>
          </w:p>
        </w:tc>
        <w:tc>
          <w:tcPr>
            <w:tcW w:w="3910" w:type="dxa"/>
            <w:tcBorders>
              <w:top w:val="single" w:color="000000" w:sz="2" w:space="0"/>
              <w:left w:val="single" w:color="000000" w:sz="2" w:space="0"/>
              <w:bottom w:val="single" w:color="000000" w:sz="2" w:space="0"/>
              <w:right w:val="single" w:color="000000" w:sz="2" w:space="0"/>
            </w:tcBorders>
            <w:shd w:val="clear" w:color="auto" w:fill="EEEEEE"/>
            <w:noWrap w:val="0"/>
            <w:vAlign w:val="center"/>
          </w:tcPr>
          <w:p w14:paraId="4AF6756C">
            <w:pPr>
              <w:spacing w:line="400" w:lineRule="exact"/>
              <w:ind w:right="103"/>
              <w:jc w:val="center"/>
              <w:rPr>
                <w:rFonts w:hint="eastAsia" w:ascii="仿宋_GB2312" w:hAnsi="仿宋" w:eastAsia="仿宋_GB2312" w:cs="仿宋"/>
                <w:sz w:val="28"/>
                <w:szCs w:val="28"/>
              </w:rPr>
            </w:pPr>
            <w:r>
              <w:rPr>
                <w:rFonts w:hint="eastAsia" w:ascii="仿宋_GB2312" w:hAnsi="仿宋" w:eastAsia="仿宋_GB2312" w:cs="仿宋"/>
                <w:sz w:val="28"/>
                <w:szCs w:val="28"/>
              </w:rPr>
              <w:t>H</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 xml:space="preserve">264格式 </w:t>
            </w:r>
          </w:p>
        </w:tc>
      </w:tr>
    </w:tbl>
    <w:p w14:paraId="32A4756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黑体" w:hAnsi="黑体" w:eastAsia="黑体" w:cs="黑体"/>
          <w:b/>
          <w:sz w:val="28"/>
          <w:szCs w:val="28"/>
          <w:lang w:val="en-US" w:eastAsia="zh-CN"/>
        </w:rPr>
      </w:pPr>
    </w:p>
    <w:p w14:paraId="2CF87C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3.2成片技术要求</w:t>
      </w:r>
    </w:p>
    <w:p w14:paraId="47DF4DAC">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影像资料成片应符合以下要求：</w:t>
      </w:r>
    </w:p>
    <w:p w14:paraId="2B0ACA26">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（1）压缩编码H.264，输出MPEG格式</w:t>
      </w:r>
    </w:p>
    <w:p w14:paraId="6D947007">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（2）成片码率不小于25Mb/s</w:t>
      </w:r>
    </w:p>
    <w:p w14:paraId="0070A053">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（3）分辨率：1920x1080 25P</w:t>
      </w:r>
    </w:p>
    <w:p w14:paraId="5F171A69">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（4）画幅： 16:9</w:t>
      </w:r>
    </w:p>
    <w:p w14:paraId="28096A78">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（5）技术指标须达电视播出标准（画面清晰，声音清楚，提标注字幕）。</w:t>
      </w:r>
    </w:p>
    <w:p w14:paraId="167992A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4.实施过程要求</w:t>
      </w:r>
    </w:p>
    <w:p w14:paraId="62D2980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4.1知识产权及版权归属说明</w:t>
      </w:r>
    </w:p>
    <w:p w14:paraId="1B7C6418">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bCs/>
          <w:sz w:val="28"/>
          <w:szCs w:val="28"/>
          <w:lang w:val="en-US" w:eastAsia="zh-CN"/>
        </w:rPr>
      </w:pPr>
      <w:r>
        <w:rPr>
          <w:rFonts w:hint="eastAsia" w:ascii="仿宋_GB2312" w:hAnsi="仿宋" w:eastAsia="仿宋_GB2312" w:cstheme="minorBidi"/>
          <w:bCs/>
          <w:kern w:val="2"/>
          <w:sz w:val="28"/>
          <w:szCs w:val="28"/>
          <w:highlight w:val="none"/>
          <w:lang w:val="en-US" w:eastAsia="zh-CN" w:bidi="ar-SA"/>
        </w:rPr>
        <w:t>本项目涉及的相关服务成果，采购方享有知识产权与版权。涉及产品购买或租赁的，采购方拥有最终产品完全使用权。涉及资源成果的，采购方享有完全使用权。</w:t>
      </w:r>
      <w:r>
        <w:rPr>
          <w:rFonts w:hint="eastAsia" w:ascii="仿宋_GB2312" w:hAnsi="仿宋" w:eastAsia="仿宋_GB2312"/>
          <w:bCs/>
          <w:sz w:val="28"/>
          <w:szCs w:val="28"/>
          <w:lang w:val="en-US" w:eastAsia="zh-CN"/>
        </w:rPr>
        <w:t>未经书面同意或授权，</w:t>
      </w:r>
      <w:r>
        <w:rPr>
          <w:rFonts w:hint="eastAsia" w:ascii="仿宋_GB2312" w:hAnsi="仿宋" w:eastAsia="仿宋_GB2312"/>
          <w:bCs/>
          <w:sz w:val="28"/>
          <w:szCs w:val="28"/>
          <w:highlight w:val="none"/>
          <w:lang w:val="en-US" w:eastAsia="zh-CN"/>
        </w:rPr>
        <w:t>供应商</w:t>
      </w:r>
      <w:r>
        <w:rPr>
          <w:rFonts w:hint="eastAsia" w:ascii="仿宋_GB2312" w:hAnsi="仿宋" w:eastAsia="仿宋_GB2312"/>
          <w:bCs/>
          <w:sz w:val="28"/>
          <w:szCs w:val="28"/>
          <w:lang w:val="en-US" w:eastAsia="zh-CN"/>
        </w:rPr>
        <w:t>不得用作其他商业用途等。</w:t>
      </w:r>
    </w:p>
    <w:p w14:paraId="4D2464C7">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lang w:val="en-US" w:eastAsia="zh-CN"/>
        </w:rPr>
      </w:pPr>
      <w:r>
        <w:rPr>
          <w:rFonts w:hint="eastAsia" w:ascii="仿宋_GB2312" w:hAnsi="仿宋" w:eastAsia="仿宋_GB2312"/>
          <w:bCs/>
          <w:sz w:val="28"/>
          <w:szCs w:val="28"/>
          <w:lang w:val="en-US" w:eastAsia="zh-CN"/>
        </w:rPr>
        <w:t>供应商应保障项目设计内容及技术，不受任何第三方关于侵犯著作权、肖像权、专利权、商标权或工业设计权的指控。如任何第三方提出关于知识产权的异议，供应商必须与第三方交涉并承担由此引起的一切法律责任和费用，包括赔偿采购方的连带损失。</w:t>
      </w:r>
    </w:p>
    <w:p w14:paraId="713FE76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4.2项目团队及实施要求说明</w:t>
      </w:r>
    </w:p>
    <w:p w14:paraId="4E7ED49D">
      <w:pPr>
        <w:adjustRightInd w:val="0"/>
        <w:spacing w:line="360" w:lineRule="auto"/>
        <w:ind w:firstLine="560" w:firstLineChars="200"/>
        <w:rPr>
          <w:rFonts w:ascii="华文楷体" w:hAnsi="华文楷体" w:eastAsia="华文楷体" w:cs="华文楷体"/>
          <w:color w:val="FF0000"/>
          <w:sz w:val="28"/>
          <w:szCs w:val="28"/>
        </w:rPr>
      </w:pPr>
      <w:r>
        <w:rPr>
          <w:rFonts w:hint="eastAsia" w:ascii="仿宋_GB2312" w:hAnsi="仿宋" w:eastAsia="仿宋_GB2312"/>
          <w:bCs/>
          <w:sz w:val="28"/>
          <w:szCs w:val="28"/>
        </w:rPr>
        <w:t>供应商需设立固定的项目实施团队，以便及时按要求进行项目协调、服务工作，具体职责服从采购方安排、能适应采购方常规业务需要。本项目建立的专项实施团队，包括项目经理、项目策划、脚本设计、美术设计、视频制作、技术支持等人员，项目组成员包括以上但不仅限于以上人员组成。</w:t>
      </w:r>
    </w:p>
    <w:p w14:paraId="7F5D53EB">
      <w:pPr>
        <w:adjustRightIn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rPr>
        <w:t>供应商需要更换项目负责人的，应提前7天书面通知采购方，并征得采购方书面同意。采购方有权通知供应商更换其认为不称职的项目负责人。在具体项目实施各阶段，项目组如变更项目实施人员，应告知采购方。</w:t>
      </w:r>
    </w:p>
    <w:p w14:paraId="726A334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rPr>
        <w:t>要求中选成交供应商提供投入项目的团队主要成员清单。</w:t>
      </w:r>
    </w:p>
    <w:p w14:paraId="304AD8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4.3保密说明</w:t>
      </w:r>
    </w:p>
    <w:p w14:paraId="7A1390A1">
      <w:pPr>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项目管理实施过程中，不得向其他个人或单位泄露本项目的过程资料和成果资料。</w:t>
      </w:r>
    </w:p>
    <w:p w14:paraId="7FD6441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5.项目验收要求</w:t>
      </w:r>
    </w:p>
    <w:p w14:paraId="41F805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5.1项目验收标准</w:t>
      </w:r>
    </w:p>
    <w:p w14:paraId="63DD4AF0">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bCs/>
          <w:sz w:val="28"/>
          <w:szCs w:val="28"/>
          <w:lang w:val="en-US" w:eastAsia="zh-CN"/>
        </w:rPr>
        <w:t>供应商</w:t>
      </w:r>
      <w:r>
        <w:rPr>
          <w:rFonts w:hint="eastAsia" w:ascii="仿宋_GB2312" w:hAnsi="仿宋" w:eastAsia="仿宋_GB2312" w:cstheme="minorBidi"/>
          <w:bCs/>
          <w:kern w:val="2"/>
          <w:sz w:val="28"/>
          <w:szCs w:val="28"/>
          <w:highlight w:val="none"/>
          <w:lang w:val="en-US" w:eastAsia="zh-CN" w:bidi="ar-SA"/>
        </w:rPr>
        <w:t>需要完成各项工作需求，在数量和质量上应满足预期规划要求和对应数量，并提供质量评审相关材料。</w:t>
      </w:r>
    </w:p>
    <w:p w14:paraId="4140E3AA">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bCs/>
          <w:sz w:val="28"/>
          <w:szCs w:val="28"/>
          <w:lang w:val="en-US" w:eastAsia="zh-CN"/>
        </w:rPr>
        <w:t>供应商</w:t>
      </w:r>
      <w:r>
        <w:rPr>
          <w:rFonts w:hint="eastAsia" w:ascii="仿宋_GB2312" w:hAnsi="仿宋" w:eastAsia="仿宋_GB2312" w:cstheme="minorBidi"/>
          <w:bCs/>
          <w:kern w:val="2"/>
          <w:sz w:val="28"/>
          <w:szCs w:val="28"/>
          <w:highlight w:val="none"/>
          <w:lang w:val="en-US" w:eastAsia="zh-CN" w:bidi="ar-SA"/>
        </w:rPr>
        <w:t>按要求完成项目内容后，采购方对其提供的服务进行验收。验收前供应商需提供项目过程中形成的项目资料、知识成果，以验收材料形式汇总提交。</w:t>
      </w:r>
    </w:p>
    <w:p w14:paraId="17E3E75E">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当文档材料提交后，采购方可最终组织验收，完成验收工作。</w:t>
      </w:r>
    </w:p>
    <w:p w14:paraId="293E89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5.2项目验收交付</w:t>
      </w:r>
    </w:p>
    <w:p w14:paraId="773D71B5">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bCs/>
          <w:sz w:val="28"/>
          <w:szCs w:val="28"/>
          <w:lang w:val="en-US" w:eastAsia="zh-CN"/>
        </w:rPr>
        <w:t>供应商</w:t>
      </w:r>
      <w:r>
        <w:rPr>
          <w:rFonts w:hint="eastAsia" w:ascii="仿宋_GB2312" w:hAnsi="仿宋" w:eastAsia="仿宋_GB2312" w:cstheme="minorBidi"/>
          <w:bCs/>
          <w:kern w:val="2"/>
          <w:sz w:val="28"/>
          <w:szCs w:val="28"/>
          <w:highlight w:val="none"/>
          <w:lang w:val="en-US" w:eastAsia="zh-CN" w:bidi="ar-SA"/>
        </w:rPr>
        <w:t>必须按时提供各个阶段产生的成果和文档资料，包括项目涉及的全部成果文档、管理文档等。</w:t>
      </w:r>
    </w:p>
    <w:p w14:paraId="72840551">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_GB2312" w:hAnsi="仿宋" w:eastAsia="仿宋_GB2312" w:cstheme="minorBidi"/>
          <w:bCs/>
          <w:kern w:val="2"/>
          <w:sz w:val="28"/>
          <w:szCs w:val="28"/>
          <w:highlight w:val="none"/>
          <w:lang w:val="en-US" w:eastAsia="zh-CN" w:bidi="ar-SA"/>
        </w:rPr>
      </w:pPr>
      <w:r>
        <w:rPr>
          <w:rFonts w:hint="default" w:ascii="仿宋_GB2312" w:hAnsi="仿宋" w:eastAsia="仿宋_GB2312" w:cstheme="minorBidi"/>
          <w:bCs/>
          <w:kern w:val="2"/>
          <w:sz w:val="28"/>
          <w:szCs w:val="28"/>
          <w:highlight w:val="none"/>
          <w:lang w:val="en-US" w:eastAsia="zh-CN" w:bidi="ar-SA"/>
        </w:rPr>
        <w:t>交付物</w:t>
      </w:r>
      <w:r>
        <w:rPr>
          <w:rFonts w:hint="eastAsia" w:ascii="仿宋_GB2312" w:hAnsi="仿宋" w:eastAsia="仿宋_GB2312" w:cstheme="minorBidi"/>
          <w:bCs/>
          <w:kern w:val="2"/>
          <w:sz w:val="28"/>
          <w:szCs w:val="28"/>
          <w:highlight w:val="none"/>
          <w:lang w:val="en-US" w:eastAsia="zh-CN" w:bidi="ar-SA"/>
        </w:rPr>
        <w:t>包括</w:t>
      </w:r>
      <w:r>
        <w:rPr>
          <w:rFonts w:hint="default" w:ascii="仿宋_GB2312" w:hAnsi="仿宋" w:eastAsia="仿宋_GB2312" w:cstheme="minorBidi"/>
          <w:bCs/>
          <w:kern w:val="2"/>
          <w:sz w:val="28"/>
          <w:szCs w:val="28"/>
          <w:highlight w:val="none"/>
          <w:lang w:val="en-US" w:eastAsia="zh-CN" w:bidi="ar-SA"/>
        </w:rPr>
        <w:t>：</w:t>
      </w:r>
    </w:p>
    <w:p w14:paraId="47DA9FA8">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（1）影像资料成片文件（视频，MP4格式）；</w:t>
      </w:r>
    </w:p>
    <w:p w14:paraId="66BD6160">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（2）过程文件（合成最终视频文件用到的文案稿本、图片音像素材等，按文件夹压缩打包，zip或rar格式）；</w:t>
      </w:r>
    </w:p>
    <w:p w14:paraId="3B744651">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lang w:val="en-US" w:eastAsia="zh-CN"/>
        </w:rPr>
      </w:pPr>
      <w:r>
        <w:rPr>
          <w:rFonts w:hint="eastAsia" w:ascii="仿宋_GB2312" w:hAnsi="仿宋" w:eastAsia="仿宋_GB2312" w:cstheme="minorBidi"/>
          <w:bCs/>
          <w:kern w:val="2"/>
          <w:sz w:val="28"/>
          <w:szCs w:val="28"/>
          <w:highlight w:val="none"/>
          <w:lang w:val="en-US" w:eastAsia="zh-CN" w:bidi="ar-SA"/>
        </w:rPr>
        <w:t>（3）其他与本项目相关的交付物。</w:t>
      </w:r>
    </w:p>
    <w:p w14:paraId="2108EF7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6.售后服务及保障要求</w:t>
      </w:r>
    </w:p>
    <w:p w14:paraId="6F9D8FD0">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bCs/>
          <w:sz w:val="28"/>
          <w:szCs w:val="28"/>
          <w:lang w:val="en-US" w:eastAsia="zh-CN"/>
        </w:rPr>
        <w:t>供应商</w:t>
      </w:r>
      <w:r>
        <w:rPr>
          <w:rFonts w:hint="eastAsia" w:ascii="仿宋_GB2312" w:hAnsi="仿宋" w:eastAsia="仿宋_GB2312" w:cstheme="minorBidi"/>
          <w:bCs/>
          <w:kern w:val="2"/>
          <w:sz w:val="28"/>
          <w:szCs w:val="28"/>
          <w:highlight w:val="none"/>
          <w:lang w:val="en-US" w:eastAsia="zh-CN" w:bidi="ar-SA"/>
        </w:rPr>
        <w:t>必须承诺并保障：</w:t>
      </w:r>
    </w:p>
    <w:p w14:paraId="2CBDC170">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在项目验收前，根据采购方的合理意见，对已完成的项目工作进行免费的内容性修改与增减，以达到采购方所有需求；</w:t>
      </w:r>
    </w:p>
    <w:p w14:paraId="0311E570">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yellow"/>
          <w:lang w:val="en-US" w:eastAsia="zh-CN" w:bidi="ar-SA"/>
        </w:rPr>
      </w:pPr>
      <w:r>
        <w:rPr>
          <w:rFonts w:hint="eastAsia" w:ascii="仿宋_GB2312" w:hAnsi="仿宋" w:eastAsia="仿宋_GB2312" w:cstheme="minorBidi"/>
          <w:bCs/>
          <w:kern w:val="2"/>
          <w:sz w:val="28"/>
          <w:szCs w:val="28"/>
          <w:highlight w:val="none"/>
          <w:lang w:val="en-US" w:eastAsia="zh-CN" w:bidi="ar-SA"/>
        </w:rPr>
        <w:t>从项目全面验收合格之日起半年内提供</w:t>
      </w:r>
      <w:r>
        <w:rPr>
          <w:rFonts w:hint="default" w:ascii="仿宋_GB2312" w:hAnsi="仿宋" w:eastAsia="仿宋_GB2312" w:cstheme="minorBidi"/>
          <w:bCs/>
          <w:kern w:val="2"/>
          <w:sz w:val="28"/>
          <w:szCs w:val="28"/>
          <w:highlight w:val="none"/>
          <w:lang w:val="en-US" w:eastAsia="zh-CN" w:bidi="ar-SA"/>
        </w:rPr>
        <w:t>质保服务</w:t>
      </w:r>
      <w:r>
        <w:rPr>
          <w:rFonts w:hint="eastAsia" w:ascii="仿宋_GB2312" w:hAnsi="仿宋" w:eastAsia="仿宋_GB2312" w:cstheme="minorBidi"/>
          <w:bCs/>
          <w:kern w:val="2"/>
          <w:sz w:val="28"/>
          <w:szCs w:val="28"/>
          <w:highlight w:val="none"/>
          <w:lang w:val="en-US" w:eastAsia="zh-CN" w:bidi="ar-SA"/>
        </w:rPr>
        <w:t>。</w:t>
      </w:r>
    </w:p>
    <w:p w14:paraId="11FD846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7.响应商资质要求</w:t>
      </w:r>
    </w:p>
    <w:p w14:paraId="26DA150D">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合格的响应商必须具备以下条件：</w:t>
      </w:r>
    </w:p>
    <w:p w14:paraId="3761982E">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（1）符合《中华人民共和国政府采购法》第二十二条规定；</w:t>
      </w:r>
    </w:p>
    <w:p w14:paraId="232822E8">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（2）未被列入“信用中国”网站(www.creditchina.gov.cn)失信被执行人名单、重大税收违法案件当事人名单和中国政府采购网(www.ccgp.gov.cn)政府采购严重违法失信行为记录名单的供应商；</w:t>
      </w:r>
    </w:p>
    <w:p w14:paraId="05D0E993">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（3）本项目仅接受中、小、微企业参加磋商，供应商如满足须提供“中小企业声明函”；</w:t>
      </w:r>
    </w:p>
    <w:p w14:paraId="1E7917BD">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r>
        <w:rPr>
          <w:rFonts w:hint="eastAsia" w:ascii="仿宋_GB2312" w:hAnsi="仿宋" w:eastAsia="仿宋_GB2312" w:cstheme="minorBidi"/>
          <w:bCs/>
          <w:kern w:val="2"/>
          <w:sz w:val="28"/>
          <w:szCs w:val="28"/>
          <w:highlight w:val="none"/>
          <w:lang w:val="en-US" w:eastAsia="zh-CN" w:bidi="ar-SA"/>
        </w:rPr>
        <w:t>（4）不接受供应商以联合体方式参与投标；</w:t>
      </w:r>
    </w:p>
    <w:p w14:paraId="6FCBA235">
      <w:pPr>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lang w:val="en-US" w:eastAsia="zh-CN"/>
        </w:rPr>
      </w:pPr>
      <w:r>
        <w:rPr>
          <w:rFonts w:hint="eastAsia" w:ascii="仿宋_GB2312" w:hAnsi="仿宋" w:eastAsia="仿宋_GB2312" w:cstheme="minorBidi"/>
          <w:bCs/>
          <w:kern w:val="2"/>
          <w:sz w:val="28"/>
          <w:szCs w:val="28"/>
          <w:highlight w:val="none"/>
          <w:lang w:val="en-US" w:eastAsia="zh-CN" w:bidi="ar-SA"/>
        </w:rPr>
        <w:t>（5）单位负责人为同一人或者存在直接控股、管理关系的不同供应商，不得同时参加本项目的投标。</w:t>
      </w:r>
    </w:p>
    <w:p w14:paraId="42CEFE3D">
      <w:pPr>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 w:eastAsia="仿宋_GB2312" w:cstheme="minorBidi"/>
          <w:bCs/>
          <w:kern w:val="2"/>
          <w:sz w:val="28"/>
          <w:szCs w:val="28"/>
          <w:highlight w:val="none"/>
          <w:lang w:val="en-US" w:eastAsia="zh-Hans" w:bidi="ar-SA"/>
        </w:rPr>
      </w:pPr>
    </w:p>
    <w:p w14:paraId="4073BA1A">
      <w:pPr>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 w:eastAsia="仿宋_GB2312" w:cstheme="minorBidi"/>
          <w:bCs/>
          <w:kern w:val="2"/>
          <w:sz w:val="28"/>
          <w:szCs w:val="28"/>
          <w:highlight w:val="none"/>
          <w:lang w:val="en-US" w:eastAsia="zh-Hans" w:bidi="ar-SA"/>
        </w:rPr>
      </w:pPr>
    </w:p>
    <w:p w14:paraId="33EB3919">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lang w:val="en-US" w:eastAsia="zh-CN"/>
        </w:rPr>
      </w:pPr>
    </w:p>
    <w:p w14:paraId="49962493">
      <w:pPr>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cstheme="minorBidi"/>
          <w:bCs/>
          <w:kern w:val="2"/>
          <w:sz w:val="28"/>
          <w:szCs w:val="28"/>
          <w:highlight w:val="none"/>
          <w:lang w:val="en-US" w:eastAsia="zh-CN" w:bidi="ar-SA"/>
        </w:rPr>
      </w:pPr>
    </w:p>
    <w:p w14:paraId="512F0618">
      <w:pPr>
        <w:pStyle w:val="3"/>
        <w:pageBreakBefore w:val="0"/>
        <w:widowControl w:val="0"/>
        <w:numPr>
          <w:ilvl w:val="5"/>
          <w:numId w:val="0"/>
        </w:numPr>
        <w:kinsoku/>
        <w:wordWrap/>
        <w:overflowPunct/>
        <w:topLinePunct w:val="0"/>
        <w:autoSpaceDE/>
        <w:autoSpaceDN/>
        <w:bidi w:val="0"/>
        <w:adjustRightInd/>
        <w:snapToGrid w:val="0"/>
        <w:spacing w:before="0" w:after="0" w:line="360" w:lineRule="auto"/>
        <w:ind w:leftChars="0"/>
        <w:textAlignment w:val="auto"/>
        <w:rPr>
          <w:rFonts w:hint="default"/>
          <w:lang w:val="en-US" w:eastAsia="zh-CN"/>
        </w:rPr>
      </w:pPr>
    </w:p>
    <w:p w14:paraId="415C42C7">
      <w:pPr>
        <w:pageBreakBefore w:val="0"/>
        <w:widowControl w:val="0"/>
        <w:kinsoku/>
        <w:wordWrap/>
        <w:overflowPunct/>
        <w:topLinePunct w:val="0"/>
        <w:autoSpaceDE/>
        <w:autoSpaceDN/>
        <w:bidi w:val="0"/>
        <w:adjustRightInd/>
        <w:snapToGrid w:val="0"/>
        <w:spacing w:line="360" w:lineRule="auto"/>
        <w:textAlignment w:val="auto"/>
      </w:pPr>
    </w:p>
    <w:p w14:paraId="494B0D23">
      <w:pPr>
        <w:pageBreakBefore w:val="0"/>
        <w:widowControl w:val="0"/>
        <w:kinsoku/>
        <w:wordWrap/>
        <w:overflowPunct/>
        <w:topLinePunct w:val="0"/>
        <w:autoSpaceDE/>
        <w:autoSpaceDN/>
        <w:bidi w:val="0"/>
        <w:adjustRightInd/>
        <w:snapToGrid w:val="0"/>
        <w:spacing w:line="360" w:lineRule="auto"/>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C0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14EA1">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814EA1">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343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04B36"/>
    <w:multiLevelType w:val="multilevel"/>
    <w:tmpl w:val="2DD04B36"/>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3"/>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E054C"/>
    <w:rsid w:val="0554256B"/>
    <w:rsid w:val="1192211A"/>
    <w:rsid w:val="11D464E7"/>
    <w:rsid w:val="220C7B17"/>
    <w:rsid w:val="2B7E054C"/>
    <w:rsid w:val="2F67197A"/>
    <w:rsid w:val="31B42731"/>
    <w:rsid w:val="399D7D96"/>
    <w:rsid w:val="59E61B89"/>
    <w:rsid w:val="5B1F53CE"/>
    <w:rsid w:val="5E1E595E"/>
    <w:rsid w:val="66F949CA"/>
    <w:rsid w:val="6D062D75"/>
    <w:rsid w:val="726608E9"/>
    <w:rsid w:val="762A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120" w:after="120"/>
      <w:outlineLvl w:val="0"/>
    </w:pPr>
    <w:rPr>
      <w:b/>
      <w:bCs/>
      <w:kern w:val="44"/>
      <w:sz w:val="44"/>
      <w:szCs w:val="44"/>
    </w:rPr>
  </w:style>
  <w:style w:type="paragraph" w:styleId="3">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1970</Words>
  <Characters>2099</Characters>
  <Lines>0</Lines>
  <Paragraphs>0</Paragraphs>
  <TotalTime>0</TotalTime>
  <ScaleCrop>false</ScaleCrop>
  <LinksUpToDate>false</LinksUpToDate>
  <CharactersWithSpaces>2159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2025-02-26T03:52:00Z</dcterms:created>
  <dc:creator>admin</dc:creator>
  <cp:lastModifiedBy>ωêη</cp:lastModifiedBy>
  <cp:lastPrinted>2025-02-27T07:00:00Z</cp:lastPrinted>
  <dcterms:modified xsi:type="dcterms:W3CDTF">2025-03-13T04:45:33Z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086D643D6F8644EFAA7970A6DC292473_13</vt:lpwstr>
  </property>
  <property fmtid="{D5CDD505-2E9C-101B-9397-08002B2CF9AE}" pid="4" name="KSOTemplateDocerSaveRecord">
    <vt:lpwstr>eyJoZGlkIjoiOGU1YzJkNDBiMjIwMTFjNDg1OGYyNGE1MmNmMzdmZWEiLCJ1c2VySWQiOiIyODIyMjU2NzUifQ==</vt:lpwstr>
  </property>
</Properties>
</file>