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仿宋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仿宋"/>
          <w:color w:val="000000"/>
          <w:kern w:val="0"/>
          <w:sz w:val="30"/>
          <w:szCs w:val="30"/>
        </w:rPr>
        <w:t>附件4</w:t>
      </w:r>
    </w:p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“品味书香，传递阅读力量” ——2022年上海市民终身学习</w:t>
      </w:r>
    </w:p>
    <w:p>
      <w:pPr>
        <w:spacing w:line="560" w:lineRule="exact"/>
        <w:jc w:val="left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数字阅读活动“阅读达人” 和“长者学习之星”配额表</w:t>
      </w:r>
    </w:p>
    <w:tbl>
      <w:tblPr>
        <w:tblStyle w:val="2"/>
        <w:tblW w:w="781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409"/>
        <w:gridCol w:w="1701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40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区名称</w:t>
            </w:r>
          </w:p>
        </w:tc>
        <w:tc>
          <w:tcPr>
            <w:tcW w:w="170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阅读达人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配额数</w:t>
            </w:r>
          </w:p>
        </w:tc>
        <w:tc>
          <w:tcPr>
            <w:tcW w:w="212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长者学习之星配额数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崇明区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松江区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普陀区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长宁区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嘉定区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青浦区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金山区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宝山区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闵行区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奉贤区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浦东新区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虹口区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杨浦区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静安区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徐汇区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黄浦区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100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mMjBjMjMzYzJhNmY5Zjg0YThkMGZkNGU0MjNjOTYifQ=="/>
  </w:docVars>
  <w:rsids>
    <w:rsidRoot w:val="00000000"/>
    <w:rsid w:val="688C23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423</Words>
  <Characters>449</Characters>
  <Lines>0</Lines>
  <Paragraphs>0</Paragraphs>
  <TotalTime>0</TotalTime>
  <ScaleCrop>false</ScaleCrop>
  <LinksUpToDate>false</LinksUpToDate>
  <CharactersWithSpaces>472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2022-06-18T00:59:00Z</dcterms:created>
  <dc:creator>刘珊珊的 iPhone</dc:creator>
  <cp:lastModifiedBy>珊</cp:lastModifiedBy>
  <dcterms:modified xsi:type="dcterms:W3CDTF">2022-10-11T10:02:14Z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D03F77B3ADE37B847742AC623C3AB7C7</vt:lpwstr>
  </property>
</Properties>
</file>